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661D" w14:textId="77777777" w:rsidR="00B80895" w:rsidRDefault="00675E53">
      <w:pPr>
        <w:pStyle w:val="Heading1"/>
      </w:pPr>
      <w:r>
        <w:t>Przegląd najnowszych nowości: Oracle, SQL Server, MySQL/MariaDB, PostgreSQL (ostatni tydzień)</w:t>
      </w:r>
    </w:p>
    <w:p w14:paraId="09B526C0" w14:textId="77777777" w:rsidR="00B80895" w:rsidRDefault="00675E53">
      <w:pPr>
        <w:pStyle w:val="Heading2"/>
      </w:pPr>
      <w:r>
        <w:t>Podsumowanie kluczowych nowości (ostatni tydzień)</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03"/>
      </w:tblGrid>
      <w:tr w:rsidR="00B80895" w14:paraId="5CD93C49" w14:textId="77777777" w:rsidTr="00B80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4D6192" w14:textId="77777777" w:rsidR="00B80895" w:rsidRDefault="00675E53">
            <w:r>
              <w:t>Baza danych</w:t>
            </w:r>
          </w:p>
        </w:tc>
        <w:tc>
          <w:tcPr>
            <w:tcW w:w="0" w:type="auto"/>
            <w:vAlign w:val="center"/>
          </w:tcPr>
          <w:p w14:paraId="3C833751" w14:textId="77777777" w:rsidR="00B80895" w:rsidRDefault="00675E53">
            <w:pPr>
              <w:cnfStyle w:val="100000000000" w:firstRow="1" w:lastRow="0" w:firstColumn="0" w:lastColumn="0" w:oddVBand="0" w:evenVBand="0" w:oddHBand="0" w:evenHBand="0" w:firstRowFirstColumn="0" w:firstRowLastColumn="0" w:lastRowFirstColumn="0" w:lastRowLastColumn="0"/>
            </w:pPr>
            <w:r>
              <w:t>Najważniejsze aktualności (ostatni tydzień)</w:t>
            </w:r>
          </w:p>
        </w:tc>
      </w:tr>
      <w:tr w:rsidR="00B80895" w14:paraId="6EE582E1" w14:textId="77777777" w:rsidTr="00B80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4731C5" w14:textId="77777777" w:rsidR="00B80895" w:rsidRDefault="00675E53">
            <w:r>
              <w:t>Oracle Database</w:t>
            </w:r>
          </w:p>
        </w:tc>
        <w:tc>
          <w:tcPr>
            <w:tcW w:w="0" w:type="auto"/>
            <w:vAlign w:val="center"/>
          </w:tcPr>
          <w:p w14:paraId="40512E65" w14:textId="77777777" w:rsidR="00B80895" w:rsidRDefault="00675E53">
            <w:pPr>
              <w:cnfStyle w:val="000000100000" w:firstRow="0" w:lastRow="0" w:firstColumn="0" w:lastColumn="0" w:oddVBand="0" w:evenVBand="0" w:oddHBand="1" w:evenHBand="0" w:firstRowFirstColumn="0" w:firstRowLastColumn="0" w:lastRowFirstColumn="0" w:lastRowLastColumn="0"/>
            </w:pPr>
            <w:r>
              <w:rPr>
                <w:b/>
                <w:bCs/>
              </w:rPr>
              <w:t>Ekspansja multicloud:</w:t>
            </w:r>
            <w:r>
              <w:t xml:space="preserve"> Oracle Database@Google Cloud uruchomiono w nowych regionach (m.in. </w:t>
            </w:r>
            <w:r>
              <w:rPr>
                <w:b/>
                <w:bCs/>
              </w:rPr>
              <w:t>Indie</w:t>
            </w:r>
            <w:r>
              <w:t xml:space="preserve"> i </w:t>
            </w:r>
            <w:r>
              <w:rPr>
                <w:b/>
                <w:bCs/>
              </w:rPr>
              <w:t>Kanada</w:t>
            </w:r>
            <w:r>
              <w:t>)</w:t>
            </w:r>
            <w:r>
              <w:rPr>
                <w:rStyle w:val="FootnoteReference"/>
              </w:rPr>
              <w:footnoteReference w:id="1"/>
            </w:r>
            <w:r>
              <w:t xml:space="preserve"> </w:t>
            </w:r>
            <w:r>
              <w:rPr>
                <w:rStyle w:val="FootnoteReference"/>
              </w:rPr>
              <w:footnoteReference w:id="2"/>
            </w:r>
            <w:r>
              <w:t xml:space="preserve">. Rozszerzono też dostępność usług Oracle DB na </w:t>
            </w:r>
            <w:r>
              <w:rPr>
                <w:b/>
                <w:bCs/>
              </w:rPr>
              <w:t>Azure</w:t>
            </w:r>
            <w:r>
              <w:t xml:space="preserve"> (np. Oracle GoldenGate w nowych regionach) oraz usprawnienia na </w:t>
            </w:r>
            <w:r>
              <w:rPr>
                <w:b/>
                <w:bCs/>
              </w:rPr>
              <w:t>AWS</w:t>
            </w:r>
            <w:r>
              <w:t xml:space="preserve"> (m.in. cross-region restore dla Exadata Database Service)</w:t>
            </w:r>
            <w:r>
              <w:rPr>
                <w:rStyle w:val="FootnoteReference"/>
              </w:rPr>
              <w:footnoteReference w:id="3"/>
            </w:r>
            <w:r>
              <w:t xml:space="preserve">. </w:t>
            </w:r>
            <w:r>
              <w:rPr>
                <w:b/>
                <w:bCs/>
              </w:rPr>
              <w:t>Nowe funkcje Autonomous DB:</w:t>
            </w:r>
            <w:r>
              <w:t xml:space="preserve"> W grudniowych aktualizacjach Oracle Autonomous Database dodano m.in. możliwość zarządzania obciążeniem poprzez </w:t>
            </w:r>
            <w:r>
              <w:rPr>
                <w:b/>
                <w:bCs/>
              </w:rPr>
              <w:t>Resource Manager</w:t>
            </w:r>
            <w:r>
              <w:t xml:space="preserve"> oraz integrację z </w:t>
            </w:r>
            <w:r>
              <w:rPr>
                <w:b/>
                <w:bCs/>
              </w:rPr>
              <w:t>API DynamoDB</w:t>
            </w:r>
            <w:r>
              <w:rPr>
                <w:rStyle w:val="FootnoteReference"/>
              </w:rPr>
              <w:footnoteReference w:id="4"/>
            </w:r>
            <w:r>
              <w:t xml:space="preserve">. Zapowiedziano także zbliżającą się premierę </w:t>
            </w:r>
            <w:r>
              <w:rPr>
                <w:b/>
                <w:bCs/>
              </w:rPr>
              <w:t>Oracle AI Database 26ai</w:t>
            </w:r>
            <w:r>
              <w:t xml:space="preserve"> dla środowisk on-premises (Linux x86-64)</w:t>
            </w:r>
            <w:r>
              <w:rPr>
                <w:rStyle w:val="FootnoteReference"/>
              </w:rPr>
              <w:footnoteReference w:id="5"/>
            </w:r>
            <w:r>
              <w:t>.</w:t>
            </w:r>
          </w:p>
        </w:tc>
      </w:tr>
      <w:tr w:rsidR="00B80895" w14:paraId="366859A9" w14:textId="77777777" w:rsidTr="00B80895">
        <w:tc>
          <w:tcPr>
            <w:cnfStyle w:val="001000000000" w:firstRow="0" w:lastRow="0" w:firstColumn="1" w:lastColumn="0" w:oddVBand="0" w:evenVBand="0" w:oddHBand="0" w:evenHBand="0" w:firstRowFirstColumn="0" w:firstRowLastColumn="0" w:lastRowFirstColumn="0" w:lastRowLastColumn="0"/>
            <w:tcW w:w="0" w:type="auto"/>
            <w:vAlign w:val="center"/>
          </w:tcPr>
          <w:p w14:paraId="2BDDD677" w14:textId="77777777" w:rsidR="00B80895" w:rsidRDefault="00675E53">
            <w:r>
              <w:t>Microsoft SQL Server</w:t>
            </w:r>
          </w:p>
        </w:tc>
        <w:tc>
          <w:tcPr>
            <w:tcW w:w="0" w:type="auto"/>
            <w:vAlign w:val="center"/>
          </w:tcPr>
          <w:p w14:paraId="5EDA9B19" w14:textId="77777777" w:rsidR="00B80895" w:rsidRDefault="00675E53">
            <w:pPr>
              <w:cnfStyle w:val="000000000000" w:firstRow="0" w:lastRow="0" w:firstColumn="0" w:lastColumn="0" w:oddVBand="0" w:evenVBand="0" w:oddHBand="0" w:evenHBand="0" w:firstRowFirstColumn="0" w:firstRowLastColumn="0" w:lastRowFirstColumn="0" w:lastRowLastColumn="0"/>
            </w:pPr>
            <w:r>
              <w:rPr>
                <w:b/>
                <w:bCs/>
              </w:rPr>
              <w:t>Podsumowanie roku 2025:</w:t>
            </w:r>
            <w:r>
              <w:t xml:space="preserve"> Microsoft opublikował wpis podsumowujący nowości roku (w tym GA </w:t>
            </w:r>
            <w:r>
              <w:rPr>
                <w:b/>
                <w:bCs/>
              </w:rPr>
              <w:t>SQL Server 2025</w:t>
            </w:r>
            <w:r>
              <w:t xml:space="preserve"> z wbudowaną obsługą AI)</w:t>
            </w:r>
            <w:r>
              <w:rPr>
                <w:rStyle w:val="FootnoteReference"/>
              </w:rPr>
              <w:footnoteReference w:id="6"/>
            </w:r>
            <w:r>
              <w:t xml:space="preserve">. </w:t>
            </w:r>
            <w:r>
              <w:rPr>
                <w:b/>
                <w:bCs/>
              </w:rPr>
              <w:t>Nowe narzędzia:</w:t>
            </w:r>
            <w:r>
              <w:t xml:space="preserve"> W grudniu wydano </w:t>
            </w:r>
            <w:r>
              <w:rPr>
                <w:b/>
                <w:bCs/>
              </w:rPr>
              <w:t>SQL Server Management Studio 22.1</w:t>
            </w:r>
            <w:r>
              <w:t>, które poprawia integrację z GitHub Copilot i zawiera liczne poprawki</w:t>
            </w:r>
            <w:r>
              <w:rPr>
                <w:rStyle w:val="FootnoteReference"/>
              </w:rPr>
              <w:footnoteReference w:id="7"/>
            </w:r>
            <w:r>
              <w:t xml:space="preserve">. Udostępniono także </w:t>
            </w:r>
            <w:r>
              <w:rPr>
                <w:b/>
                <w:bCs/>
              </w:rPr>
              <w:t>ODBC Driver 18.6</w:t>
            </w:r>
            <w:r>
              <w:t xml:space="preserve">, dodając obsługę typu danych </w:t>
            </w:r>
            <w:r>
              <w:rPr>
                <w:b/>
                <w:bCs/>
              </w:rPr>
              <w:t>wektor</w:t>
            </w:r>
            <w:r>
              <w:t xml:space="preserve"> (Float32) i wsparcie nowych platform (np. Debian 13, RHEL 10)</w:t>
            </w:r>
            <w:r>
              <w:rPr>
                <w:rStyle w:val="FootnoteReference"/>
              </w:rPr>
              <w:footnoteReference w:id="8"/>
            </w:r>
            <w:r>
              <w:t xml:space="preserve">. </w:t>
            </w:r>
            <w:r>
              <w:rPr>
                <w:b/>
                <w:bCs/>
              </w:rPr>
              <w:t>Sterownik Python (mssql-python):</w:t>
            </w:r>
            <w:r>
              <w:t xml:space="preserve"> Nowy oficjalny </w:t>
            </w:r>
            <w:r>
              <w:rPr>
                <w:b/>
                <w:bCs/>
              </w:rPr>
              <w:t>Microsoft Python Driver for SQL Server</w:t>
            </w:r>
            <w:r>
              <w:t xml:space="preserve"> osiągnął status GA, oferując nowoczesny, wydajny interfejs DB-API 2.0 z obsługą uwierzytelniania Entra ID</w:t>
            </w:r>
            <w:r>
              <w:rPr>
                <w:rStyle w:val="FootnoteReference"/>
              </w:rPr>
              <w:footnoteReference w:id="9"/>
            </w:r>
            <w:r>
              <w:t xml:space="preserve">. </w:t>
            </w:r>
            <w:r>
              <w:rPr>
                <w:b/>
                <w:bCs/>
              </w:rPr>
              <w:t>Zmiany edycji/licencjonowania:</w:t>
            </w:r>
            <w:r>
              <w:t xml:space="preserve"> Wraz z SQL Server 2025 zwiększono limity dla Standard (do 32 rdzeni, 256 GB RAM) i Express (do 50 GB bazy) oraz wprowadzono </w:t>
            </w:r>
            <w:r>
              <w:rPr>
                <w:b/>
                <w:bCs/>
              </w:rPr>
              <w:t>Standard Developer Edition</w:t>
            </w:r>
            <w:r>
              <w:t xml:space="preserve"> (pełny Standard do testów). Jednocześnie </w:t>
            </w:r>
            <w:r>
              <w:rPr>
                <w:b/>
                <w:bCs/>
              </w:rPr>
              <w:t>Web Edition</w:t>
            </w:r>
            <w:r>
              <w:t xml:space="preserve"> została wycofana – SQL Server 2022 jest ostatnią jej wersją (wsparcie do 2033)</w:t>
            </w:r>
            <w:r>
              <w:rPr>
                <w:rStyle w:val="FootnoteReference"/>
              </w:rPr>
              <w:footnoteReference w:id="10"/>
            </w:r>
            <w:r>
              <w:t>.</w:t>
            </w:r>
          </w:p>
        </w:tc>
      </w:tr>
      <w:tr w:rsidR="00B80895" w14:paraId="10BA97FD" w14:textId="77777777" w:rsidTr="00B80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6447CE" w14:textId="77777777" w:rsidR="00B80895" w:rsidRDefault="00675E53">
            <w:r>
              <w:t>MySQL (Oracle)</w:t>
            </w:r>
          </w:p>
        </w:tc>
        <w:tc>
          <w:tcPr>
            <w:tcW w:w="0" w:type="auto"/>
            <w:vAlign w:val="center"/>
          </w:tcPr>
          <w:p w14:paraId="6C817E54" w14:textId="77777777" w:rsidR="00B80895" w:rsidRDefault="00675E53">
            <w:pPr>
              <w:cnfStyle w:val="000000100000" w:firstRow="0" w:lastRow="0" w:firstColumn="0" w:lastColumn="0" w:oddVBand="0" w:evenVBand="0" w:oddHBand="1" w:evenHBand="0" w:firstRowFirstColumn="0" w:firstRowLastColumn="0" w:lastRowFirstColumn="0" w:lastRowLastColumn="0"/>
            </w:pPr>
            <w:r>
              <w:rPr>
                <w:b/>
                <w:bCs/>
              </w:rPr>
              <w:t>Brak nowych wydań w tym tygodniu:</w:t>
            </w:r>
            <w:r>
              <w:t xml:space="preserve"> Ostatnie planowe aktualizacje MySQL Community to </w:t>
            </w:r>
            <w:r>
              <w:rPr>
                <w:b/>
                <w:bCs/>
              </w:rPr>
              <w:t>linie 8.4 (LTS)</w:t>
            </w:r>
            <w:r>
              <w:t xml:space="preserve"> i </w:t>
            </w:r>
            <w:r>
              <w:rPr>
                <w:b/>
                <w:bCs/>
              </w:rPr>
              <w:t>9.x (Innovation Track)</w:t>
            </w:r>
            <w:r>
              <w:t xml:space="preserve"> – kolejne wydania spodziewane są na początku 2026 (MySQL 8.0 osiągnie EOL w kwietniu 2026)</w:t>
            </w:r>
            <w:r>
              <w:rPr>
                <w:rStyle w:val="FootnoteReference"/>
              </w:rPr>
              <w:footnoteReference w:id="11"/>
            </w:r>
            <w:r>
              <w:t xml:space="preserve">. </w:t>
            </w:r>
            <w:r>
              <w:rPr>
                <w:b/>
                <w:bCs/>
              </w:rPr>
              <w:t>30-lecie MySQL:</w:t>
            </w:r>
            <w:r>
              <w:t xml:space="preserve"> Rok 2025 upłynął pod hasłem 30. urodzin MySQL – oficjalny blog społeczności podsumował globalne wydarzenia jubileuszowe, podkreślając trzy dekady innowacji i zaangażowania użytkowników</w:t>
            </w:r>
            <w:r>
              <w:rPr>
                <w:rStyle w:val="FootnoteReference"/>
              </w:rPr>
              <w:footnoteReference w:id="12"/>
            </w:r>
            <w:r>
              <w:t xml:space="preserve">. </w:t>
            </w:r>
            <w:r>
              <w:rPr>
                <w:b/>
                <w:bCs/>
              </w:rPr>
              <w:t>Wsparcie i wydania:</w:t>
            </w:r>
            <w:r>
              <w:t xml:space="preserve"> Oracle wydłużył okres wsparcia dla wydań innowacyjnych MySQL – wersje wydane </w:t>
            </w:r>
            <w:r>
              <w:rPr>
                <w:b/>
                <w:bCs/>
              </w:rPr>
              <w:t>od listopada 2025</w:t>
            </w:r>
            <w:r>
              <w:t xml:space="preserve"> będą wycofywane po ~5 miesiącach (zamiast 3), dając użytkownikom więcej czasu na aktualizacje</w:t>
            </w:r>
            <w:r>
              <w:rPr>
                <w:rStyle w:val="FootnoteReference"/>
              </w:rPr>
              <w:footnoteReference w:id="13"/>
            </w:r>
            <w:r>
              <w:t>. Nie odnotowano istotnych biuletynów bezpieczeństwa ani zmian licencyjnych w ostatnim tygodniu.</w:t>
            </w:r>
          </w:p>
        </w:tc>
      </w:tr>
      <w:tr w:rsidR="00B80895" w14:paraId="163E5F82" w14:textId="77777777" w:rsidTr="00B80895">
        <w:tc>
          <w:tcPr>
            <w:cnfStyle w:val="001000000000" w:firstRow="0" w:lastRow="0" w:firstColumn="1" w:lastColumn="0" w:oddVBand="0" w:evenVBand="0" w:oddHBand="0" w:evenHBand="0" w:firstRowFirstColumn="0" w:firstRowLastColumn="0" w:lastRowFirstColumn="0" w:lastRowLastColumn="0"/>
            <w:tcW w:w="0" w:type="auto"/>
            <w:vAlign w:val="center"/>
          </w:tcPr>
          <w:p w14:paraId="6DD1D6E2" w14:textId="77777777" w:rsidR="00B80895" w:rsidRDefault="00675E53">
            <w:r>
              <w:t>MariaDB</w:t>
            </w:r>
          </w:p>
        </w:tc>
        <w:tc>
          <w:tcPr>
            <w:tcW w:w="0" w:type="auto"/>
            <w:vAlign w:val="center"/>
          </w:tcPr>
          <w:p w14:paraId="26FD5316" w14:textId="77777777" w:rsidR="00B80895" w:rsidRDefault="00675E53">
            <w:pPr>
              <w:cnfStyle w:val="000000000000" w:firstRow="0" w:lastRow="0" w:firstColumn="0" w:lastColumn="0" w:oddVBand="0" w:evenVBand="0" w:oddHBand="0" w:evenHBand="0" w:firstRowFirstColumn="0" w:firstRowLastColumn="0" w:lastRowFirstColumn="0" w:lastRowLastColumn="0"/>
            </w:pPr>
            <w:r>
              <w:rPr>
                <w:b/>
                <w:bCs/>
              </w:rPr>
              <w:t>Nowe wydania maintenance (Q4 2025):</w:t>
            </w:r>
            <w:r>
              <w:t xml:space="preserve"> MariaDB wydało </w:t>
            </w:r>
            <w:r>
              <w:rPr>
                <w:b/>
                <w:bCs/>
              </w:rPr>
              <w:t>Enterprise Server 11.8.5‑2, 11.4.9‑6 oraz 10.6.24‑20</w:t>
            </w:r>
            <w:r>
              <w:t>, zawierające backporty wybranych funkcji</w:t>
            </w:r>
            <w:r>
              <w:rPr>
                <w:rStyle w:val="FootnoteReference"/>
              </w:rPr>
              <w:footnoteReference w:id="14"/>
            </w:r>
            <w:r>
              <w:t xml:space="preserve">. </w:t>
            </w:r>
            <w:r>
              <w:rPr>
                <w:b/>
                <w:bCs/>
              </w:rPr>
              <w:t>Ulepszenia:</w:t>
            </w:r>
            <w:r>
              <w:t xml:space="preserve"> W wersji 11.8.5‑2 dodano buforowanie zapisów logów w wtyczkach </w:t>
            </w:r>
            <w:r>
              <w:rPr>
                <w:b/>
                <w:bCs/>
              </w:rPr>
              <w:t>SERVER_AUDIT</w:t>
            </w:r>
            <w:r>
              <w:t xml:space="preserve">, nowe pola </w:t>
            </w:r>
            <w:r>
              <w:rPr>
                <w:b/>
                <w:bCs/>
              </w:rPr>
              <w:t>Connects_Tried</w:t>
            </w:r>
            <w:r>
              <w:t xml:space="preserve"> i </w:t>
            </w:r>
            <w:r>
              <w:rPr>
                <w:b/>
                <w:bCs/>
              </w:rPr>
              <w:t>Master_Retry_Count</w:t>
            </w:r>
            <w:r>
              <w:t xml:space="preserve"> w SHOW REPLICA STATUS, a także udostępniono wtyczkę uwierzytelniania </w:t>
            </w:r>
            <w:r>
              <w:rPr>
                <w:b/>
                <w:bCs/>
              </w:rPr>
              <w:t>caching_sha2_password</w:t>
            </w:r>
            <w:r>
              <w:t xml:space="preserve"> (domyślnie wyłączoną)</w:t>
            </w:r>
            <w:r>
              <w:rPr>
                <w:rStyle w:val="FootnoteReference"/>
              </w:rPr>
              <w:footnoteReference w:id="15"/>
            </w:r>
            <w:r>
              <w:t>. Podobne poprawki zaimplementowano w gałęzi 11.4 oraz 10.6</w:t>
            </w:r>
            <w:r>
              <w:rPr>
                <w:rStyle w:val="FootnoteReference"/>
              </w:rPr>
              <w:footnoteReference w:id="16"/>
            </w:r>
            <w:r>
              <w:t xml:space="preserve"> </w:t>
            </w:r>
            <w:r>
              <w:rPr>
                <w:rStyle w:val="FootnoteReference"/>
              </w:rPr>
              <w:footnoteReference w:id="17"/>
            </w:r>
            <w:r>
              <w:t xml:space="preserve">. </w:t>
            </w:r>
            <w:r>
              <w:rPr>
                <w:b/>
                <w:bCs/>
              </w:rPr>
              <w:t>Komponenty:</w:t>
            </w:r>
            <w:r>
              <w:t xml:space="preserve"> Zaktualizowano m.in. silnik Galera (do v26.4.24) i ColumnStore (v25.10.2 w MariaDB 11)</w:t>
            </w:r>
            <w:r>
              <w:rPr>
                <w:rStyle w:val="FootnoteReference"/>
              </w:rPr>
              <w:footnoteReference w:id="18"/>
            </w:r>
            <w:r>
              <w:t>, poprawiono integrację z HashiCorp Vault</w:t>
            </w:r>
            <w:r>
              <w:rPr>
                <w:rStyle w:val="FootnoteReference"/>
              </w:rPr>
              <w:footnoteReference w:id="19"/>
            </w:r>
            <w:r>
              <w:t xml:space="preserve">. </w:t>
            </w:r>
            <w:r>
              <w:rPr>
                <w:b/>
                <w:bCs/>
              </w:rPr>
              <w:t>Platformy:</w:t>
            </w:r>
            <w:r>
              <w:t xml:space="preserve"> Bieżące wydania są ostatnimi wspierającymi Windows 10 22H2 oraz Windows 11 23H2 (ze względu na koniec wsparcia tych OS)</w:t>
            </w:r>
            <w:r>
              <w:rPr>
                <w:rStyle w:val="FootnoteReference"/>
              </w:rPr>
              <w:footnoteReference w:id="20"/>
            </w:r>
            <w:r>
              <w:t>.</w:t>
            </w:r>
          </w:p>
        </w:tc>
      </w:tr>
      <w:tr w:rsidR="00B80895" w14:paraId="15A6608B" w14:textId="77777777" w:rsidTr="00B80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560B76" w14:textId="77777777" w:rsidR="00B80895" w:rsidRDefault="00675E53">
            <w:r>
              <w:t>PostgreSQL</w:t>
            </w:r>
          </w:p>
        </w:tc>
        <w:tc>
          <w:tcPr>
            <w:tcW w:w="0" w:type="auto"/>
            <w:vAlign w:val="center"/>
          </w:tcPr>
          <w:p w14:paraId="401A77AF" w14:textId="77777777" w:rsidR="00B80895" w:rsidRDefault="00675E53">
            <w:pPr>
              <w:cnfStyle w:val="000000100000" w:firstRow="0" w:lastRow="0" w:firstColumn="0" w:lastColumn="0" w:oddVBand="0" w:evenVBand="0" w:oddHBand="1" w:evenHBand="0" w:firstRowFirstColumn="0" w:firstRowLastColumn="0" w:lastRowFirstColumn="0" w:lastRowLastColumn="0"/>
            </w:pPr>
            <w:r>
              <w:rPr>
                <w:b/>
                <w:bCs/>
              </w:rPr>
              <w:t>Aktualizacje rdzenia:</w:t>
            </w:r>
            <w:r>
              <w:t xml:space="preserve"> Najnowszy pakiet poprawek dla PostgreSQL ukazał się 13 listopada 2025 (wersje </w:t>
            </w:r>
            <w:r>
              <w:rPr>
                <w:b/>
                <w:bCs/>
              </w:rPr>
              <w:t>18.1, 17.7, 16.11, ...</w:t>
            </w:r>
            <w:r>
              <w:t xml:space="preserve">), a w minionym tygodniu nie wydano nowych wersji rdzenia. </w:t>
            </w:r>
            <w:r>
              <w:rPr>
                <w:b/>
                <w:bCs/>
              </w:rPr>
              <w:t>Nowości w ekosystemie:</w:t>
            </w:r>
            <w:r>
              <w:t xml:space="preserve"> Pojawiły się ważne aktualizacje narzędzi i rozszerzeń. Wydano </w:t>
            </w:r>
            <w:r>
              <w:rPr>
                <w:b/>
                <w:bCs/>
              </w:rPr>
              <w:t>pgAdmin 4 v9.11</w:t>
            </w:r>
            <w:r>
              <w:t xml:space="preserve"> – najnowszą wersję oficjalnego narzędzia GUI dla PostgreSQL</w:t>
            </w:r>
            <w:r>
              <w:rPr>
                <w:rStyle w:val="FootnoteReference"/>
              </w:rPr>
              <w:footnoteReference w:id="21"/>
            </w:r>
            <w:r>
              <w:t xml:space="preserve">. Zespół Pgpool wypuścił poprawkowe wersje </w:t>
            </w:r>
            <w:r>
              <w:rPr>
                <w:b/>
                <w:bCs/>
              </w:rPr>
              <w:t>Pgpool-II 4.6.5, 4.5.10, 4.4.15, 4.3.18</w:t>
            </w:r>
            <w:r>
              <w:t>, usprawniające m.in. mechanizmy failover i eliminujące błędy</w:t>
            </w:r>
            <w:r>
              <w:rPr>
                <w:rStyle w:val="FootnoteReference"/>
              </w:rPr>
              <w:footnoteReference w:id="22"/>
            </w:r>
            <w:r>
              <w:t xml:space="preserve">. </w:t>
            </w:r>
            <w:r>
              <w:rPr>
                <w:b/>
                <w:bCs/>
              </w:rPr>
              <w:t>Nowe rozszerzenia:</w:t>
            </w:r>
            <w:r>
              <w:t xml:space="preserve"> Zaprezentowano </w:t>
            </w:r>
            <w:r>
              <w:rPr>
                <w:b/>
                <w:bCs/>
              </w:rPr>
              <w:t>pg_llm_helper 0.1.0</w:t>
            </w:r>
            <w:r>
              <w:t xml:space="preserve"> – rozszerzenie integrujące model GPT-4 (OpenAI) w celu diagnostyki błędów SQL bezpośrednio w PostgreSQL</w:t>
            </w:r>
            <w:r>
              <w:rPr>
                <w:rStyle w:val="FootnoteReference"/>
              </w:rPr>
              <w:footnoteReference w:id="23"/>
            </w:r>
            <w:r>
              <w:t xml:space="preserve">. Ponadto rozszerzenie </w:t>
            </w:r>
            <w:r>
              <w:rPr>
                <w:b/>
                <w:bCs/>
              </w:rPr>
              <w:t>tds_fdw</w:t>
            </w:r>
            <w:r>
              <w:t xml:space="preserve"> (pozwalające na zapytania do MS SQL/Sybase z poziomu PostgreSQL) uzyskało eksperymentalną obsługę operacji zapisu</w:t>
            </w:r>
            <w:r>
              <w:rPr>
                <w:rStyle w:val="FootnoteReference"/>
              </w:rPr>
              <w:footnoteReference w:id="24"/>
            </w:r>
            <w:r>
              <w:t>.</w:t>
            </w:r>
          </w:p>
        </w:tc>
      </w:tr>
    </w:tbl>
    <w:p w14:paraId="672A6659" w14:textId="77777777" w:rsidR="00B80895" w:rsidRDefault="00B80895">
      <w:pPr>
        <w:pBdr>
          <w:top w:val="single" w:sz="12" w:space="0" w:color="auto"/>
        </w:pBdr>
        <w:spacing w:after="0"/>
      </w:pPr>
    </w:p>
    <w:p w14:paraId="2453CBF1" w14:textId="77777777" w:rsidR="00B80895" w:rsidRDefault="00675E53">
      <w:pPr>
        <w:pStyle w:val="Heading2"/>
      </w:pPr>
      <w:r>
        <w:t>Oracle Database – najnowsze aktualności</w:t>
      </w:r>
    </w:p>
    <w:p w14:paraId="60167AD4" w14:textId="77777777" w:rsidR="00B80895" w:rsidRDefault="00675E53">
      <w:r>
        <w:rPr>
          <w:b/>
          <w:bCs/>
        </w:rPr>
        <w:t>Ekspansja usług Oracle DB w chmurze (multicloud):</w:t>
      </w:r>
      <w:r>
        <w:t xml:space="preserve"> Oracle kontynuuje dynamiczny rozwój wielochmurowych rozwiązań bazodanowych. W ubiegłym tygodniu ogłoszono nowe lokalizacje dostępności </w:t>
      </w:r>
      <w:r>
        <w:rPr>
          <w:b/>
          <w:bCs/>
        </w:rPr>
        <w:t>Oracle Database@Google Cloud</w:t>
      </w:r>
      <w:r>
        <w:t xml:space="preserve">, m.in. otwarto usługę w regionie </w:t>
      </w:r>
      <w:r>
        <w:rPr>
          <w:b/>
          <w:bCs/>
        </w:rPr>
        <w:t>India (Azja Południowa)</w:t>
      </w:r>
      <w:r>
        <w:t xml:space="preserve"> oraz </w:t>
      </w:r>
      <w:r>
        <w:rPr>
          <w:b/>
          <w:bCs/>
        </w:rPr>
        <w:t>Kanada</w:t>
      </w:r>
      <w:r>
        <w:rPr>
          <w:rStyle w:val="FootnoteReference"/>
        </w:rPr>
        <w:footnoteReference w:id="25"/>
      </w:r>
      <w:r>
        <w:t xml:space="preserve"> </w:t>
      </w:r>
      <w:r>
        <w:rPr>
          <w:rStyle w:val="FootnoteReference"/>
        </w:rPr>
        <w:footnoteReference w:id="26"/>
      </w:r>
      <w:r>
        <w:t>. Dzięki temu klienci mogą łączyć swoje dane w bazach Oracle z usługami analitycznymi i AI Google Cloud, co usprawnia tworzenie zaawansowanych analiz i wniosków biznesowych</w:t>
      </w:r>
      <w:r>
        <w:rPr>
          <w:rStyle w:val="FootnoteReference"/>
        </w:rPr>
        <w:footnoteReference w:id="27"/>
      </w:r>
      <w:r>
        <w:t xml:space="preserve">. Równocześnie </w:t>
      </w:r>
      <w:r>
        <w:rPr>
          <w:b/>
          <w:bCs/>
        </w:rPr>
        <w:t>Oracle Database@Azure</w:t>
      </w:r>
      <w:r>
        <w:t xml:space="preserve"> pojawił się w kolejnych regionach (np. </w:t>
      </w:r>
      <w:r>
        <w:rPr>
          <w:b/>
          <w:bCs/>
        </w:rPr>
        <w:t>Brazylia Southeast</w:t>
      </w:r>
      <w:r>
        <w:t>) razem z Oracle Exadata Database Service na platformie Azure</w:t>
      </w:r>
      <w:r>
        <w:rPr>
          <w:rStyle w:val="FootnoteReference"/>
        </w:rPr>
        <w:footnoteReference w:id="28"/>
      </w:r>
      <w:r>
        <w:t xml:space="preserve">. Rozszerzono też zasięg </w:t>
      </w:r>
      <w:r>
        <w:rPr>
          <w:b/>
          <w:bCs/>
        </w:rPr>
        <w:t>Oracle GoldenGate</w:t>
      </w:r>
      <w:r>
        <w:t xml:space="preserve"> (narzędzie do replikacji danych) na nowe lokalizacje, m.in. </w:t>
      </w:r>
      <w:r>
        <w:rPr>
          <w:b/>
          <w:bCs/>
        </w:rPr>
        <w:t>Włochy Północ</w:t>
      </w:r>
      <w:r>
        <w:t xml:space="preserve"> i </w:t>
      </w:r>
      <w:r>
        <w:rPr>
          <w:b/>
          <w:bCs/>
        </w:rPr>
        <w:t>USA Central</w:t>
      </w:r>
      <w:r>
        <w:rPr>
          <w:rStyle w:val="FootnoteReference"/>
        </w:rPr>
        <w:footnoteReference w:id="29"/>
      </w:r>
      <w:r>
        <w:t xml:space="preserve">. Na </w:t>
      </w:r>
      <w:r>
        <w:rPr>
          <w:b/>
          <w:bCs/>
        </w:rPr>
        <w:t>AWS</w:t>
      </w:r>
      <w:r>
        <w:t xml:space="preserve"> wprowadzono funkcję </w:t>
      </w:r>
      <w:r>
        <w:rPr>
          <w:b/>
          <w:bCs/>
        </w:rPr>
        <w:t>Cross-Region Restore</w:t>
      </w:r>
      <w:r>
        <w:t xml:space="preserve"> dla usługi Exadata Database Service on Dedicated Infrastructure, umożliwiającą odtwarzanie baz danych z backupu między regionami</w:t>
      </w:r>
      <w:r>
        <w:rPr>
          <w:rStyle w:val="FootnoteReference"/>
        </w:rPr>
        <w:footnoteReference w:id="30"/>
      </w:r>
      <w:r>
        <w:t>.</w:t>
      </w:r>
    </w:p>
    <w:p w14:paraId="000E071E" w14:textId="77777777" w:rsidR="00B80895" w:rsidRDefault="00675E53">
      <w:r>
        <w:rPr>
          <w:b/>
          <w:bCs/>
        </w:rPr>
        <w:t>Grudniowe ulepszenia Autonomous Database:</w:t>
      </w:r>
      <w:r>
        <w:t xml:space="preserve"> W ostatnim tygodniu Oracle podsumował również nowości w rodzinie autonomicznych baz danych. W trybie </w:t>
      </w:r>
      <w:r>
        <w:rPr>
          <w:b/>
          <w:bCs/>
        </w:rPr>
        <w:t>Autonomous Database Serverless (ADB-S)</w:t>
      </w:r>
      <w:r>
        <w:t xml:space="preserve"> dodano możliwość zarządzania zasobami przez </w:t>
      </w:r>
      <w:r>
        <w:rPr>
          <w:b/>
          <w:bCs/>
        </w:rPr>
        <w:t>Database Resource Manager</w:t>
      </w:r>
      <w:r>
        <w:t xml:space="preserve"> (co pozwala lepiej kontrolować podział mocy obliczeniowej między obciążeniami)</w:t>
      </w:r>
      <w:r>
        <w:rPr>
          <w:rStyle w:val="FootnoteReference"/>
        </w:rPr>
        <w:footnoteReference w:id="31"/>
      </w:r>
      <w:r>
        <w:t xml:space="preserve">. Pojawiło się także </w:t>
      </w:r>
      <w:r>
        <w:rPr>
          <w:b/>
          <w:bCs/>
        </w:rPr>
        <w:t>API dla Amazon DynamoDB</w:t>
      </w:r>
      <w:r>
        <w:t>, umożliwiające aplikacjom korzystającym z DynamoDB interakcję z Oracle Autonomous Database</w:t>
      </w:r>
      <w:r>
        <w:rPr>
          <w:rStyle w:val="FootnoteReference"/>
        </w:rPr>
        <w:footnoteReference w:id="32"/>
      </w:r>
      <w:r>
        <w:t xml:space="preserve">. W wariancie </w:t>
      </w:r>
      <w:r>
        <w:rPr>
          <w:b/>
          <w:bCs/>
        </w:rPr>
        <w:t>Autonomous Database Dedicated (ADB-D)</w:t>
      </w:r>
      <w:r>
        <w:t xml:space="preserve"> wprowadzono wsparcie dla </w:t>
      </w:r>
      <w:r>
        <w:rPr>
          <w:b/>
          <w:bCs/>
        </w:rPr>
        <w:t>raportów AWR na bazach standby</w:t>
      </w:r>
      <w:r>
        <w:t xml:space="preserve"> oraz funkcję przywracania baz z backupów S3 w różnych regionach (cross-region restore)</w:t>
      </w:r>
      <w:r>
        <w:rPr>
          <w:rStyle w:val="FootnoteReference"/>
        </w:rPr>
        <w:footnoteReference w:id="33"/>
      </w:r>
      <w:r>
        <w:t xml:space="preserve">. Dodatkowo udostępniono pakiet </w:t>
      </w:r>
      <w:r>
        <w:rPr>
          <w:b/>
          <w:bCs/>
        </w:rPr>
        <w:t>DBMS_CLOUD_NOTIFICATION</w:t>
      </w:r>
      <w:r>
        <w:t xml:space="preserve"> do wysyłania powiadomień OCI, co ułatwia monitorowanie zdarzeń w bazie</w:t>
      </w:r>
      <w:r>
        <w:rPr>
          <w:rStyle w:val="FootnoteReference"/>
        </w:rPr>
        <w:footnoteReference w:id="34"/>
      </w:r>
      <w:r>
        <w:t>.</w:t>
      </w:r>
    </w:p>
    <w:p w14:paraId="1700610B" w14:textId="77777777" w:rsidR="00B80895" w:rsidRDefault="00675E53">
      <w:r>
        <w:rPr>
          <w:b/>
          <w:bCs/>
        </w:rPr>
        <w:t>Zapowiedź Oracle AI Database 26ai:</w:t>
      </w:r>
      <w:r>
        <w:t xml:space="preserve"> Oracle sygnalizuje nadejście kolejnej przełomowej wersji swojego bazy. W grudniowym biuletynie wspomniano, że </w:t>
      </w:r>
      <w:r>
        <w:rPr>
          <w:b/>
          <w:bCs/>
        </w:rPr>
        <w:t>Oracle AI Database 26ai</w:t>
      </w:r>
      <w:r>
        <w:t xml:space="preserve"> – najnowsza, „AI-native” edycja bazy danych Oracle – </w:t>
      </w:r>
      <w:r>
        <w:rPr>
          <w:b/>
          <w:bCs/>
        </w:rPr>
        <w:t>wkrótce będzie dostępna</w:t>
      </w:r>
      <w:r>
        <w:t xml:space="preserve"> dla środowisk on-premises na Linux x86-64</w:t>
      </w:r>
      <w:r>
        <w:rPr>
          <w:rStyle w:val="FootnoteReference"/>
        </w:rPr>
        <w:footnoteReference w:id="35"/>
      </w:r>
      <w:r>
        <w:t>. Przypomnijmy, że Oracle Database 26</w:t>
      </w:r>
      <w:r>
        <w:rPr>
          <w:b/>
          <w:bCs/>
        </w:rPr>
        <w:t>ai</w:t>
      </w:r>
      <w:r>
        <w:t xml:space="preserve"> (ogłoszona po raz pierwszy w październiku) integruje mechanizmy sztucznej inteligencji bezpośrednio w silniku bazy, oferując setki nowych funkcji z zakresu AI/ML. Dotąd 26</w:t>
      </w:r>
      <w:r>
        <w:rPr>
          <w:b/>
          <w:bCs/>
        </w:rPr>
        <w:t>ai</w:t>
      </w:r>
      <w:r>
        <w:t xml:space="preserve"> była dostępna w chmurze Oracle (cloud-first); zapowiedź wskazuje, że niebawem również klienci korzystający z tradycyjnych serwerów będą mogli wdrożyć tę wersję lokalnie</w:t>
      </w:r>
      <w:r>
        <w:rPr>
          <w:rStyle w:val="FootnoteReference"/>
        </w:rPr>
        <w:footnoteReference w:id="36"/>
      </w:r>
      <w:r>
        <w:t>. To ważna wiadomość dla firm planujących wykorzystanie zaawansowanych funkcji AI bez migracji do chmury.</w:t>
      </w:r>
    </w:p>
    <w:p w14:paraId="6D4F067F" w14:textId="77777777" w:rsidR="00B80895" w:rsidRDefault="00675E53">
      <w:r>
        <w:rPr>
          <w:b/>
          <w:bCs/>
        </w:rPr>
        <w:t>Inne informacje z Oracle (oficjalne):</w:t>
      </w:r>
      <w:r>
        <w:t xml:space="preserve"> Poza powyższymi nowościami technicznymi Oracle informuje o szeregu inicjatyw i wydarzeń. Przykładowo, ogłoszono rychły start nowego centrum danych Oracle w Michigan (USA), które Oracle poprowadzi we współpracy z OpenAI</w:t>
      </w:r>
      <w:r>
        <w:rPr>
          <w:rStyle w:val="FootnoteReference"/>
        </w:rPr>
        <w:footnoteReference w:id="37"/>
      </w:r>
      <w:r>
        <w:t>. Ponadto Oracle nawiązał partnerstwo z amerykańskim Departamentem Energii w celu przyspieszenia badań nad AI i zaawansowanymi obliczeniami</w:t>
      </w:r>
      <w:r>
        <w:rPr>
          <w:rStyle w:val="FootnoteReference"/>
        </w:rPr>
        <w:footnoteReference w:id="38"/>
      </w:r>
      <w:r>
        <w:t xml:space="preserve">. Choć te ogłoszenia nie dotyczą bezpośrednio samego produktu Oracle Database, podkreślają szerszy kontekst innowacji Oracle w obszarze AI i infrastruktury – co współgra z kierunkiem rozwoju bazy Oracle (integracja AI, multicloud, etc.). W ostatnim tygodniu nie odnotowano zmian w polityce licencjonowania Oracle DB ani pilnych poprawek bezpieczeństwa poza cyklicznymi aktualizacjami (najbliższy zbiorczy </w:t>
      </w:r>
      <w:r>
        <w:rPr>
          <w:b/>
          <w:bCs/>
        </w:rPr>
        <w:t>Critical Patch Update</w:t>
      </w:r>
      <w:r>
        <w:t xml:space="preserve"> spodziewany jest w styczniu 2026).</w:t>
      </w:r>
    </w:p>
    <w:p w14:paraId="4B576D20" w14:textId="77777777" w:rsidR="00B80895" w:rsidRDefault="00675E53">
      <w:pPr>
        <w:pStyle w:val="Heading2"/>
      </w:pPr>
      <w:r>
        <w:t>Microsoft SQL Server – najnowsze aktualności</w:t>
      </w:r>
    </w:p>
    <w:p w14:paraId="2F648A7C" w14:textId="77777777" w:rsidR="00B80895" w:rsidRDefault="00675E53">
      <w:r>
        <w:rPr>
          <w:b/>
          <w:bCs/>
        </w:rPr>
        <w:t>“Year in Review” 2025 – podsumowanie od Microsoft:</w:t>
      </w:r>
      <w:r>
        <w:t xml:space="preserve"> W dniu 18 grudnia Microsoft opublikował oficjalne podsumowanie roku dla produktów rodziny SQL</w:t>
      </w:r>
      <w:r>
        <w:rPr>
          <w:rStyle w:val="FootnoteReference"/>
        </w:rPr>
        <w:footnoteReference w:id="39"/>
      </w:r>
      <w:r>
        <w:t xml:space="preserve">. W przeglądzie tym szczególne miejsce zajmuje </w:t>
      </w:r>
      <w:r>
        <w:rPr>
          <w:b/>
          <w:bCs/>
        </w:rPr>
        <w:t>SQL Server 2025</w:t>
      </w:r>
      <w:r>
        <w:t xml:space="preserve">, którego </w:t>
      </w:r>
      <w:r>
        <w:rPr>
          <w:b/>
          <w:bCs/>
        </w:rPr>
        <w:t>ogólna dostępność (GA)</w:t>
      </w:r>
      <w:r>
        <w:t xml:space="preserve"> została ogłoszona w listopadzie na konferencji Ignite</w:t>
      </w:r>
      <w:r>
        <w:rPr>
          <w:rStyle w:val="FootnoteReference"/>
        </w:rPr>
        <w:footnoteReference w:id="40"/>
      </w:r>
      <w:r>
        <w:t xml:space="preserve">. SQL Server 2025 to znaczące wydanie jubileuszowe (ponad 30 lat rozwoju SQL Server) i pierwsza wersja zaprojektowana z myślą o erze AI – integruje sztuczną inteligencję wewnątrz silnika bazy danych, oferując m.in. wbudowane funkcje </w:t>
      </w:r>
      <w:r>
        <w:rPr>
          <w:b/>
          <w:bCs/>
        </w:rPr>
        <w:t>AI (wyszukiwanie semantyczne, obsługa wektorów)</w:t>
      </w:r>
      <w:r>
        <w:t xml:space="preserve"> oraz liczne usprawnienia dla deweloperów (np. natywna obsługa JSON, REST API, regex)</w:t>
      </w:r>
      <w:r>
        <w:rPr>
          <w:rStyle w:val="FootnoteReference"/>
        </w:rPr>
        <w:footnoteReference w:id="41"/>
      </w:r>
      <w:r>
        <w:t xml:space="preserve">. Microsoft podkreśla, że w programie publicznej preview SQL Server 2025 uczestniczyło </w:t>
      </w:r>
      <w:r>
        <w:rPr>
          <w:b/>
          <w:bCs/>
        </w:rPr>
        <w:t>10 000+ organizacji</w:t>
      </w:r>
      <w:r>
        <w:t xml:space="preserve">, które uruchomiły łącznie </w:t>
      </w:r>
      <w:r>
        <w:rPr>
          <w:b/>
          <w:bCs/>
        </w:rPr>
        <w:t>100 000 instancji</w:t>
      </w:r>
      <w:r>
        <w:t xml:space="preserve"> baz SQL 2025 – świadczy to o dużym zainteresowaniu nową wersją</w:t>
      </w:r>
      <w:r>
        <w:rPr>
          <w:rStyle w:val="FootnoteReference"/>
        </w:rPr>
        <w:footnoteReference w:id="42"/>
      </w:r>
      <w:r>
        <w:t xml:space="preserve">. W blogowym podsumowaniu Anna Hoffman (Microsoft) przypomniała też inne nowości minionego roku: rozwój usług </w:t>
      </w:r>
      <w:r>
        <w:rPr>
          <w:b/>
          <w:bCs/>
        </w:rPr>
        <w:t>Azure SQL</w:t>
      </w:r>
      <w:r>
        <w:t xml:space="preserve">, integrację z platformą </w:t>
      </w:r>
      <w:r>
        <w:rPr>
          <w:b/>
          <w:bCs/>
        </w:rPr>
        <w:t>Microsoft Fabric</w:t>
      </w:r>
      <w:r>
        <w:t xml:space="preserve"> oraz inicjatywę “One Consistent SQL” zapewniającą jednolite doświadczenie pracy z danymi w chmurze i on-premises</w:t>
      </w:r>
      <w:r>
        <w:rPr>
          <w:rStyle w:val="FootnoteReference"/>
        </w:rPr>
        <w:footnoteReference w:id="43"/>
      </w:r>
      <w:r>
        <w:t>.</w:t>
      </w:r>
    </w:p>
    <w:p w14:paraId="65B5FA31" w14:textId="77777777" w:rsidR="00B80895" w:rsidRDefault="00675E53">
      <w:r>
        <w:rPr>
          <w:b/>
          <w:bCs/>
        </w:rPr>
        <w:t>Nowe wersje narzędzi (grudzień 2025):</w:t>
      </w:r>
      <w:r>
        <w:t xml:space="preserve"> W ciągu ostatnich dwóch tygodni Microsoft wydał szereg aktualizacji narzędzi powiązanych z SQL Server:</w:t>
      </w:r>
    </w:p>
    <w:p w14:paraId="33FAA8B1" w14:textId="77777777" w:rsidR="00B80895" w:rsidRDefault="00675E53">
      <w:pPr>
        <w:pStyle w:val="ListParagraph"/>
        <w:numPr>
          <w:ilvl w:val="0"/>
          <w:numId w:val="2"/>
        </w:numPr>
      </w:pPr>
      <w:r>
        <w:rPr>
          <w:b/>
          <w:bCs/>
        </w:rPr>
        <w:t>SQL Server Management Studio 22.1:</w:t>
      </w:r>
      <w:r>
        <w:t xml:space="preserve"> Zespół SQL wypuścił kolejną iterację środowiska SSMS, oznaczoną numerem 22.1, z kilkoma usprawnieniami. Najważniejsze zmiany to dalsza integracja z </w:t>
      </w:r>
      <w:r>
        <w:rPr>
          <w:b/>
          <w:bCs/>
        </w:rPr>
        <w:t>GitHub Copilot</w:t>
      </w:r>
      <w:r>
        <w:t xml:space="preserve"> – SSMS 22.1 poprawia współpracę z Copilotem (m.in. eliminuje uciążliwy błąd „Run ValidateGeneratedTSQL” pojawiający się wielokrotnie) oraz wprowadza </w:t>
      </w:r>
      <w:r>
        <w:rPr>
          <w:b/>
          <w:bCs/>
        </w:rPr>
        <w:t>tryb Agent Copilot</w:t>
      </w:r>
      <w:r>
        <w:t xml:space="preserve"> (eksperymentalny, pozwalający na wykonywanie zapytań DML za zgodą użytkownika)</w:t>
      </w:r>
      <w:r>
        <w:rPr>
          <w:rStyle w:val="FootnoteReference"/>
        </w:rPr>
        <w:footnoteReference w:id="44"/>
      </w:r>
      <w:r>
        <w:t xml:space="preserve"> </w:t>
      </w:r>
      <w:r>
        <w:rPr>
          <w:rStyle w:val="FootnoteReference"/>
        </w:rPr>
        <w:footnoteReference w:id="45"/>
      </w:r>
      <w:r>
        <w:t xml:space="preserve">. Dodano również specjalny </w:t>
      </w:r>
      <w:r>
        <w:rPr>
          <w:b/>
          <w:bCs/>
        </w:rPr>
        <w:t>przewodnik (walkthrough) dla Copilota</w:t>
      </w:r>
      <w:r>
        <w:t xml:space="preserve"> dostępny z poziomu SSMS, ułatwiający nowym użytkownikom zapoznanie się z możliwościami AI w SSMS</w:t>
      </w:r>
      <w:r>
        <w:rPr>
          <w:rStyle w:val="FootnoteReference"/>
        </w:rPr>
        <w:footnoteReference w:id="46"/>
      </w:r>
      <w:r>
        <w:t>. SSMS 22.1 zawiera także ogólne poprawki stabilności zarówno dla samego SSMS, jak i wtyczki Copilot</w:t>
      </w:r>
      <w:r>
        <w:rPr>
          <w:rStyle w:val="FootnoteReference"/>
        </w:rPr>
        <w:footnoteReference w:id="47"/>
      </w:r>
      <w:r>
        <w:t>. Warto dodać, że SSMS w wersji 22 jest pierwszą edycją w pełni wspierającą SQL Server 2025 oraz architekturę ARM64</w:t>
      </w:r>
      <w:r>
        <w:rPr>
          <w:rStyle w:val="FootnoteReference"/>
        </w:rPr>
        <w:footnoteReference w:id="48"/>
      </w:r>
      <w:r>
        <w:t>.</w:t>
      </w:r>
    </w:p>
    <w:p w14:paraId="57372FDB" w14:textId="77777777" w:rsidR="00B80895" w:rsidRDefault="00675E53">
      <w:pPr>
        <w:pStyle w:val="ListParagraph"/>
        <w:numPr>
          <w:ilvl w:val="0"/>
          <w:numId w:val="2"/>
        </w:numPr>
      </w:pPr>
      <w:r>
        <w:rPr>
          <w:b/>
          <w:bCs/>
        </w:rPr>
        <w:t>ODBC Driver 18.6 dla SQL Server:</w:t>
      </w:r>
      <w:r>
        <w:t xml:space="preserve"> Microsoft ogłosił wydanie nowej wersji oficjalnego sterownika ODBC. </w:t>
      </w:r>
      <w:r>
        <w:rPr>
          <w:b/>
          <w:bCs/>
        </w:rPr>
        <w:t>ODBC 18.6</w:t>
      </w:r>
      <w:r>
        <w:t xml:space="preserve"> wprowadza obsługę </w:t>
      </w:r>
      <w:r>
        <w:rPr>
          <w:b/>
          <w:bCs/>
        </w:rPr>
        <w:t>nowego typu danych “vector” (float32)</w:t>
      </w:r>
      <w:r>
        <w:t>, który pojawił się w SQL Server 2025 (wykorzystywany m.in. do AI i funkcji wektorowych)</w:t>
      </w:r>
      <w:r>
        <w:rPr>
          <w:rStyle w:val="FootnoteReference"/>
        </w:rPr>
        <w:footnoteReference w:id="49"/>
      </w:r>
      <w:r>
        <w:t xml:space="preserve">. Dodano również parametr połączenia ConcatNullYieldsNull (do kontrolowania zachowania łączenia wartości NULL) oraz rozszerzono listę wspieranych platform systemowych – sterownik jest teraz dostępny m.in. na </w:t>
      </w:r>
      <w:r>
        <w:rPr>
          <w:b/>
          <w:bCs/>
        </w:rPr>
        <w:t>Azure Linux 3.0 (ARM)</w:t>
      </w:r>
      <w:r>
        <w:t xml:space="preserve">, </w:t>
      </w:r>
      <w:r>
        <w:rPr>
          <w:b/>
          <w:bCs/>
        </w:rPr>
        <w:t>Debian 13</w:t>
      </w:r>
      <w:r>
        <w:t xml:space="preserve">, </w:t>
      </w:r>
      <w:r>
        <w:rPr>
          <w:b/>
          <w:bCs/>
        </w:rPr>
        <w:t>Red Hat Enterprise Linux 10</w:t>
      </w:r>
      <w:r>
        <w:t xml:space="preserve"> i </w:t>
      </w:r>
      <w:r>
        <w:rPr>
          <w:b/>
          <w:bCs/>
        </w:rPr>
        <w:t>Ubuntu 25.10</w:t>
      </w:r>
      <w:r>
        <w:rPr>
          <w:rStyle w:val="FootnoteReference"/>
        </w:rPr>
        <w:footnoteReference w:id="50"/>
      </w:r>
      <w:r>
        <w:t>. W wydaniu 18.6 poprawiono ponadto drobne błędy (np. logowanie rozmiaru pakietu TDS w diagnostyce)</w:t>
      </w:r>
      <w:r>
        <w:rPr>
          <w:rStyle w:val="FootnoteReference"/>
        </w:rPr>
        <w:footnoteReference w:id="51"/>
      </w:r>
      <w:r>
        <w:t>. Nowy sterownik umożliwia aplikacjom korzystanie z najnowszych funkcjonalności SQL Server, w tym z wbudowanych typów AI, przy zachowaniu zgodności ODBC.</w:t>
      </w:r>
    </w:p>
    <w:p w14:paraId="3169FA43" w14:textId="77777777" w:rsidR="00B80895" w:rsidRDefault="00675E53">
      <w:pPr>
        <w:pStyle w:val="ListParagraph"/>
        <w:numPr>
          <w:ilvl w:val="0"/>
          <w:numId w:val="2"/>
        </w:numPr>
      </w:pPr>
      <w:r>
        <w:rPr>
          <w:b/>
          <w:bCs/>
        </w:rPr>
        <w:t>Microsoft Python Driver for SQL Server (mssql-python) – GA:</w:t>
      </w:r>
      <w:r>
        <w:t xml:space="preserve"> Ważna nowość dla programistów Pythona: Microsoft udostępnił </w:t>
      </w:r>
      <w:r>
        <w:rPr>
          <w:b/>
          <w:bCs/>
        </w:rPr>
        <w:t>oficjalny sterownik Python “mssql-python”</w:t>
      </w:r>
      <w:r>
        <w:t xml:space="preserve"> w wersji </w:t>
      </w:r>
      <w:r>
        <w:rPr>
          <w:b/>
          <w:bCs/>
        </w:rPr>
        <w:t>1.0 (General Availability)</w:t>
      </w:r>
      <w:r>
        <w:rPr>
          <w:rStyle w:val="FootnoteReference"/>
        </w:rPr>
        <w:footnoteReference w:id="52"/>
      </w:r>
      <w:r>
        <w:t>. Jest to nowoczesny interfejs DB-API 2.0 dla SQL Server, napisany w wydajnym C++ i zaprojektowany z myślą o szybkości i prostocie integracji z aplikacjami Pythonowymi</w:t>
      </w:r>
      <w:r>
        <w:rPr>
          <w:rStyle w:val="FootnoteReference"/>
        </w:rPr>
        <w:footnoteReference w:id="53"/>
      </w:r>
      <w:r>
        <w:t xml:space="preserve">. Sterownik zapewnia natywną obsługę uwierzytelniania </w:t>
      </w:r>
      <w:r>
        <w:rPr>
          <w:b/>
          <w:bCs/>
        </w:rPr>
        <w:t>Microsoft Entra ID (dawniej Azure AD)</w:t>
      </w:r>
      <w:r>
        <w:t>, upraszczając bezpieczne łączenie się z bazą bez konieczności ręcznego pozyskiwania tokenów</w:t>
      </w:r>
      <w:r>
        <w:rPr>
          <w:rStyle w:val="FootnoteReference"/>
        </w:rPr>
        <w:footnoteReference w:id="54"/>
      </w:r>
      <w:r>
        <w:t>. Deweloperzy podkreślają również prostotę instalacji (pip install mssql-python) bez dodatkowych zależności czy skomplikowanej konfiguracji</w:t>
      </w:r>
      <w:r>
        <w:rPr>
          <w:rStyle w:val="FootnoteReference"/>
        </w:rPr>
        <w:footnoteReference w:id="55"/>
      </w:r>
      <w:r>
        <w:t xml:space="preserve">. Według Microsoft, </w:t>
      </w:r>
      <w:r>
        <w:rPr>
          <w:b/>
          <w:bCs/>
        </w:rPr>
        <w:t>mssql-python</w:t>
      </w:r>
      <w:r>
        <w:t xml:space="preserve"> osiąga wysoką wydajność w typowych operacjach (SELECT, INSERT, UPDATE, DELETE), dobrze wykorzystując nowości SQL 2025 (np. typy wektorowe) – dzięki czemu nadaje się zarówno do obciążeń OLTP, jak i analitycznych</w:t>
      </w:r>
      <w:r>
        <w:rPr>
          <w:rStyle w:val="FootnoteReference"/>
        </w:rPr>
        <w:footnoteReference w:id="56"/>
      </w:r>
      <w:r>
        <w:t>. Nowy sterownik ma zastąpić dotychczasowe rozwiązania (pyodbc/pymssql) w roli preferowanego sposobu łączenia Pythona z SQL Server.</w:t>
      </w:r>
    </w:p>
    <w:p w14:paraId="1815EC2E" w14:textId="77777777" w:rsidR="00B80895" w:rsidRDefault="00675E53">
      <w:r>
        <w:rPr>
          <w:b/>
          <w:bCs/>
        </w:rPr>
        <w:t>Zmiany edycji i licencjonowania w SQL Server 2025:</w:t>
      </w:r>
      <w:r>
        <w:t xml:space="preserve"> Wraz z premierą SQL Server 2025 Microsoft zaktualizował ofertę edycji swojego systemu bazodanowego. </w:t>
      </w:r>
      <w:r>
        <w:rPr>
          <w:b/>
          <w:bCs/>
        </w:rPr>
        <w:t>Najważniejsze zmiany</w:t>
      </w:r>
      <w:r>
        <w:t xml:space="preserve"> to:</w:t>
      </w:r>
    </w:p>
    <w:p w14:paraId="14B96208" w14:textId="77777777" w:rsidR="00B80895" w:rsidRDefault="00675E53">
      <w:pPr>
        <w:pStyle w:val="ListParagraph"/>
        <w:numPr>
          <w:ilvl w:val="0"/>
          <w:numId w:val="3"/>
        </w:numPr>
      </w:pPr>
      <w:r>
        <w:rPr>
          <w:b/>
          <w:bCs/>
        </w:rPr>
        <w:t>Wycofanie edycji Web:</w:t>
      </w:r>
      <w:r>
        <w:t xml:space="preserve"> SQL Server 2022 jest ostatnią wersją oferującą </w:t>
      </w:r>
      <w:r>
        <w:rPr>
          <w:b/>
          <w:bCs/>
        </w:rPr>
        <w:t>Web Edition</w:t>
      </w:r>
      <w:r>
        <w:t xml:space="preserve"> (skierowaną do usług hostingowych). Edycja Web nie będzie już dostępna w SQL 2025, a jej wsparcie będzie kontynuowane do 2033 (zgodnie z polityką cyklu życia)</w:t>
      </w:r>
      <w:r>
        <w:rPr>
          <w:rStyle w:val="FootnoteReference"/>
        </w:rPr>
        <w:footnoteReference w:id="57"/>
      </w:r>
      <w:r>
        <w:t xml:space="preserve">. Microsoft zachęca dotychczasowych użytkowników Web Edition do migracji na </w:t>
      </w:r>
      <w:r>
        <w:rPr>
          <w:b/>
          <w:bCs/>
        </w:rPr>
        <w:t>Azure SQL</w:t>
      </w:r>
      <w:r>
        <w:t xml:space="preserve"> (np. </w:t>
      </w:r>
      <w:r>
        <w:rPr>
          <w:b/>
          <w:bCs/>
        </w:rPr>
        <w:t>Azure SQL Database</w:t>
      </w:r>
      <w:r>
        <w:t xml:space="preserve"> z elastic pool dla aplikacji wielodostępnych) lub – jeśli pozostają on-premises – do edycji </w:t>
      </w:r>
      <w:r>
        <w:rPr>
          <w:b/>
          <w:bCs/>
        </w:rPr>
        <w:t>Standard</w:t>
      </w:r>
      <w:r>
        <w:t xml:space="preserve"> w połączeniu z odpowiednimi licencjami chmurowymi (Azure Hybrid Benefit)</w:t>
      </w:r>
      <w:r>
        <w:rPr>
          <w:rStyle w:val="FootnoteReference"/>
        </w:rPr>
        <w:footnoteReference w:id="58"/>
      </w:r>
      <w:r>
        <w:t>.</w:t>
      </w:r>
    </w:p>
    <w:p w14:paraId="1CD1DE69" w14:textId="77777777" w:rsidR="00B80895" w:rsidRDefault="00675E53">
      <w:pPr>
        <w:pStyle w:val="ListParagraph"/>
        <w:numPr>
          <w:ilvl w:val="0"/>
          <w:numId w:val="3"/>
        </w:numPr>
      </w:pPr>
      <w:r>
        <w:rPr>
          <w:b/>
          <w:bCs/>
        </w:rPr>
        <w:t>Nowa edycja Standard Developer:</w:t>
      </w:r>
      <w:r>
        <w:t xml:space="preserve"> Po raz pierwszy wprowadzono </w:t>
      </w:r>
      <w:r>
        <w:rPr>
          <w:b/>
          <w:bCs/>
        </w:rPr>
        <w:t>SQL Server Standard Developer Edition</w:t>
      </w:r>
      <w:r>
        <w:t xml:space="preserve">, która </w:t>
      </w:r>
      <w:r>
        <w:rPr>
          <w:b/>
          <w:bCs/>
        </w:rPr>
        <w:t>odzwierciedla pełną funkcjonalność edycji Standard</w:t>
      </w:r>
      <w:r>
        <w:t>, ale jest przeznaczona wyłącznie do celów deweloperskich i testowych</w:t>
      </w:r>
      <w:r>
        <w:rPr>
          <w:rStyle w:val="FootnoteReference"/>
        </w:rPr>
        <w:footnoteReference w:id="59"/>
      </w:r>
      <w:r>
        <w:t>. Dotychczas Microsoft oferował bezpłatną edycję Developer, która odpowiadała funkcjonalnie edycji Enterprise. Teraz programiści mają wybór między Enterprise Developer a Standard Developer, co ułatwi testowanie rozwiązań w środowisku zbliżonym do docelowej produkcji (jeśli klient używa tańszej edycji Standard).</w:t>
      </w:r>
    </w:p>
    <w:p w14:paraId="4801187F" w14:textId="77777777" w:rsidR="00B80895" w:rsidRDefault="00675E53">
      <w:pPr>
        <w:pStyle w:val="ListParagraph"/>
        <w:numPr>
          <w:ilvl w:val="0"/>
          <w:numId w:val="3"/>
        </w:numPr>
      </w:pPr>
      <w:r>
        <w:rPr>
          <w:b/>
          <w:bCs/>
        </w:rPr>
        <w:t>Zwiększenie limitów w Standard i Express:</w:t>
      </w:r>
      <w:r>
        <w:t xml:space="preserve"> SQL Server 2025 skaluje wyżej możliwości niższych edycji. </w:t>
      </w:r>
      <w:r>
        <w:rPr>
          <w:b/>
          <w:bCs/>
        </w:rPr>
        <w:t>Standard Edition</w:t>
      </w:r>
      <w:r>
        <w:t xml:space="preserve"> obsługuje teraz do </w:t>
      </w:r>
      <w:r>
        <w:rPr>
          <w:b/>
          <w:bCs/>
        </w:rPr>
        <w:t>32 rdzeni CPU i 256 GB RAM</w:t>
      </w:r>
      <w:r>
        <w:t xml:space="preserve"> (wcześniej 24 rdzenie/128 GB)</w:t>
      </w:r>
      <w:r>
        <w:rPr>
          <w:rStyle w:val="FootnoteReference"/>
        </w:rPr>
        <w:footnoteReference w:id="60"/>
      </w:r>
      <w:r>
        <w:t xml:space="preserve">. W edycji Standard odblokowano też funkcję </w:t>
      </w:r>
      <w:r>
        <w:rPr>
          <w:b/>
          <w:bCs/>
        </w:rPr>
        <w:t>Resource Governor</w:t>
      </w:r>
      <w:r>
        <w:t xml:space="preserve"> (dotąd dostępna tylko w Enterprise) pozwalającą na zarządzanie zasobami i izolację obciążeń w ramach serwera</w:t>
      </w:r>
      <w:r>
        <w:rPr>
          <w:rStyle w:val="FootnoteReference"/>
        </w:rPr>
        <w:footnoteReference w:id="61"/>
      </w:r>
      <w:r>
        <w:t xml:space="preserve">. Bezpłatna </w:t>
      </w:r>
      <w:r>
        <w:rPr>
          <w:b/>
          <w:bCs/>
        </w:rPr>
        <w:t>Express Edition</w:t>
      </w:r>
      <w:r>
        <w:t xml:space="preserve"> zyskała podwojony maksymalny rozmiar bazy – do </w:t>
      </w:r>
      <w:r>
        <w:rPr>
          <w:b/>
          <w:bCs/>
        </w:rPr>
        <w:t>50 GB</w:t>
      </w:r>
      <w:r>
        <w:t xml:space="preserve"> (na instancję)</w:t>
      </w:r>
      <w:r>
        <w:rPr>
          <w:rStyle w:val="FootnoteReference"/>
        </w:rPr>
        <w:footnoteReference w:id="62"/>
      </w:r>
      <w:r>
        <w:t>. Ponadto dotychczasowe warianty Express (Basic vs Advanced) zostały zunifikowane w jedną edycję zawierającą wszystkie funkcje dostępne wcześniej w Express Advanced</w:t>
      </w:r>
      <w:r>
        <w:rPr>
          <w:rStyle w:val="FootnoteReference"/>
        </w:rPr>
        <w:footnoteReference w:id="63"/>
      </w:r>
      <w:r>
        <w:t>. Te zmiany zwiększają atrakcyjność niższych edycji dla mniejszych zastosowań, a jednocześnie upraszczają ofertę licencyjną.</w:t>
      </w:r>
    </w:p>
    <w:p w14:paraId="0888B2CF" w14:textId="77777777" w:rsidR="00B80895" w:rsidRDefault="00675E53">
      <w:pPr>
        <w:pStyle w:val="ListParagraph"/>
        <w:numPr>
          <w:ilvl w:val="0"/>
          <w:numId w:val="3"/>
        </w:numPr>
      </w:pPr>
      <w:r>
        <w:rPr>
          <w:b/>
          <w:bCs/>
        </w:rPr>
        <w:t>Raportowanie:</w:t>
      </w:r>
      <w:r>
        <w:t xml:space="preserve"> W obszarze BI/raportowania nastąpiła konsolidacja – </w:t>
      </w:r>
      <w:r>
        <w:rPr>
          <w:b/>
          <w:bCs/>
        </w:rPr>
        <w:t>SQL Server Reporting Services (SSRS)</w:t>
      </w:r>
      <w:r>
        <w:t xml:space="preserve"> w formie samodzielnego serwera nie będzie już osobnym bytem. Microsoft połączył SSRS z </w:t>
      </w:r>
      <w:r>
        <w:rPr>
          <w:b/>
          <w:bCs/>
        </w:rPr>
        <w:t>Power BI Report Server</w:t>
      </w:r>
      <w:r>
        <w:t>, czyniąc go domyślnym rozwiązaniem raportowym dla posiadaczy licencji SQL Server (oprócz edycji Express)</w:t>
      </w:r>
      <w:r>
        <w:rPr>
          <w:rStyle w:val="FootnoteReference"/>
        </w:rPr>
        <w:footnoteReference w:id="64"/>
      </w:r>
      <w:r>
        <w:t>. Oznacza to, że klienci edycji Standard i Enterprise otrzymują w ramach licencji możliwość korzystania z PBIRS (a więc zarówno raportów paginowanych SSRS, jak i interaktywnych Power BI) na swoim serwerze. Ma to ujednolicić podejście do raportowania on-prem i zachęcić do migracji do nowocześniejszych narzędzi BI.</w:t>
      </w:r>
    </w:p>
    <w:p w14:paraId="3B091C93" w14:textId="77777777" w:rsidR="00B80895" w:rsidRDefault="00675E53">
      <w:r>
        <w:rPr>
          <w:b/>
          <w:bCs/>
        </w:rPr>
        <w:t>Azure, Fabric i usługi pokrewne:</w:t>
      </w:r>
      <w:r>
        <w:t xml:space="preserve"> Choć pytanie dotyczy przede wszystkim samego SQL Server, warto wspomnieć, że w ostatnim kwartale 2025 Microsoft mocno akcentował integrację SQL Server z usługami chmurowymi i analitycznymi w ramach ekosystemu </w:t>
      </w:r>
      <w:r>
        <w:rPr>
          <w:b/>
          <w:bCs/>
        </w:rPr>
        <w:t>Azure Data/Fabric</w:t>
      </w:r>
      <w:r>
        <w:t xml:space="preserve">. Ogłoszenia z Ignite 2025 obejmowały m.in. funkcję </w:t>
      </w:r>
      <w:r>
        <w:rPr>
          <w:b/>
          <w:bCs/>
        </w:rPr>
        <w:t>Fabric Mirroring</w:t>
      </w:r>
      <w:r>
        <w:t xml:space="preserve"> – możliwość bezpośredniego odzwierciedlania danych z SQL Server 2025 do Microsoft Fabric (Power BI) w czasie niemal rzeczywistym, bez potrzeby budowania klasycznych procesów ETL</w:t>
      </w:r>
      <w:r>
        <w:rPr>
          <w:rStyle w:val="FootnoteReference"/>
        </w:rPr>
        <w:footnoteReference w:id="65"/>
      </w:r>
      <w:r>
        <w:t xml:space="preserve">. Wprowadzono również dalsze ulepszenia integracji z </w:t>
      </w:r>
      <w:r>
        <w:rPr>
          <w:b/>
          <w:bCs/>
        </w:rPr>
        <w:t>Azure Arc</w:t>
      </w:r>
      <w:r>
        <w:t xml:space="preserve"> (jednolite zarządzanie instancjami SQL w hybrydzie) oraz zapowiedziano szereg funkcji w </w:t>
      </w:r>
      <w:r>
        <w:rPr>
          <w:b/>
          <w:bCs/>
        </w:rPr>
        <w:t>Azure SQL Managed Instance</w:t>
      </w:r>
      <w:r>
        <w:t xml:space="preserve"> i </w:t>
      </w:r>
      <w:r>
        <w:rPr>
          <w:b/>
          <w:bCs/>
        </w:rPr>
        <w:t>Azure SQL Database</w:t>
      </w:r>
      <w:r>
        <w:t xml:space="preserve"> (np. nowy tier General Purpose na bazie </w:t>
      </w:r>
      <w:r>
        <w:rPr>
          <w:b/>
          <w:bCs/>
        </w:rPr>
        <w:t>Azure SQL MI</w:t>
      </w:r>
      <w:r>
        <w:t xml:space="preserve"> z lepszą wydajnością i redundancją strefową). Te chmurowe nowości wykraczają poza klasyczny SQL Server, ale pokazują kierunek: płynne współdziałanie baz danych SQL z narzędziami AI i analityką w chmurze jest kluczowym trendem.</w:t>
      </w:r>
    </w:p>
    <w:p w14:paraId="35065CBE" w14:textId="77777777" w:rsidR="00B80895" w:rsidRDefault="00675E53">
      <w:pPr>
        <w:pStyle w:val="Heading2"/>
      </w:pPr>
      <w:r>
        <w:t>MySQL – najnowsze aktualności (Oracle MySQL)</w:t>
      </w:r>
    </w:p>
    <w:p w14:paraId="264B790D" w14:textId="77777777" w:rsidR="00B80895" w:rsidRDefault="00675E53">
      <w:r>
        <w:rPr>
          <w:b/>
          <w:bCs/>
        </w:rPr>
        <w:t>Brak nowych wydań MySQL w ostatnich dniach:</w:t>
      </w:r>
      <w:r>
        <w:t xml:space="preserve"> W zeszłym tygodniu </w:t>
      </w:r>
      <w:r>
        <w:rPr>
          <w:b/>
          <w:bCs/>
        </w:rPr>
        <w:t>nie ukazała się żadna nowa wersja</w:t>
      </w:r>
      <w:r>
        <w:t xml:space="preserve"> MySQL Community ani Enterprise. Cykl wydawniczy MySQL jest skorelowany z kwartalnymi łatkami Oracle – ostatnie </w:t>
      </w:r>
      <w:r>
        <w:rPr>
          <w:b/>
          <w:bCs/>
        </w:rPr>
        <w:t>aktualizacje MySQL</w:t>
      </w:r>
      <w:r>
        <w:t xml:space="preserve"> miały miejsce jesienią 2025. W październiku udostępniono kolejne wersje z </w:t>
      </w:r>
      <w:r>
        <w:rPr>
          <w:b/>
          <w:bCs/>
        </w:rPr>
        <w:t>gałęzi 8.4 (LTS)</w:t>
      </w:r>
      <w:r>
        <w:t xml:space="preserve"> oraz </w:t>
      </w:r>
      <w:r>
        <w:rPr>
          <w:b/>
          <w:bCs/>
        </w:rPr>
        <w:t>8.0 (ściągając nowości z 8.4)</w:t>
      </w:r>
      <w:r>
        <w:t xml:space="preserve">, a także </w:t>
      </w:r>
      <w:r>
        <w:rPr>
          <w:b/>
          <w:bCs/>
        </w:rPr>
        <w:t>9.3/9.4 (Innovation Track)</w:t>
      </w:r>
      <w:r>
        <w:t xml:space="preserve"> dla osób chcących testować najnowsze funkcje. Według oficjalnego harmonogramu Oracle, </w:t>
      </w:r>
      <w:r>
        <w:rPr>
          <w:b/>
          <w:bCs/>
        </w:rPr>
        <w:t>MySQL 8.0</w:t>
      </w:r>
      <w:r>
        <w:t xml:space="preserve"> osiągnie koniec życia (</w:t>
      </w:r>
      <w:r>
        <w:rPr>
          <w:b/>
          <w:bCs/>
        </w:rPr>
        <w:t>EOL</w:t>
      </w:r>
      <w:r>
        <w:t xml:space="preserve">) w </w:t>
      </w:r>
      <w:r>
        <w:rPr>
          <w:b/>
          <w:bCs/>
        </w:rPr>
        <w:t>kwietniu 2026</w:t>
      </w:r>
      <w:r>
        <w:t xml:space="preserve"> – do tego czasu będą wydaw</w:t>
      </w:r>
      <w:r>
        <w:t>ane ostatnie poprawki bezpieczeństwa dla tej linii</w:t>
      </w:r>
      <w:r>
        <w:rPr>
          <w:rStyle w:val="FootnoteReference"/>
        </w:rPr>
        <w:footnoteReference w:id="66"/>
      </w:r>
      <w:r>
        <w:t>. Kolejnej turbopoprawki (prawdopodobnie MySQL 8.0.45 oraz 8.4.8) można spodziewać się wraz z najbliższym Oracle Critical Patch Update (styczeń 2026). Brak nowych wydań w minionym tygodniu oznacza również, że nie opublikowano żadnych krytycznych poprawek bezpieczeństwa ani zmian w licencjonowaniu MySQL.</w:t>
      </w:r>
    </w:p>
    <w:p w14:paraId="542E2A77" w14:textId="77777777" w:rsidR="00B80895" w:rsidRDefault="00675E53">
      <w:r>
        <w:rPr>
          <w:b/>
          <w:bCs/>
        </w:rPr>
        <w:t>30-lecie MySQL – wspomnienie i przyszłe kierunki:</w:t>
      </w:r>
      <w:r>
        <w:t xml:space="preserve"> Rok 2025 był dla MySQL szczególny, gdyż minęło </w:t>
      </w:r>
      <w:r>
        <w:rPr>
          <w:b/>
          <w:bCs/>
        </w:rPr>
        <w:t>30 lat od powstania</w:t>
      </w:r>
      <w:r>
        <w:t xml:space="preserve"> tej bazy danych (pierwsza wersja MySQL pojawiła się w 1995 roku). Oracle (obecny właściciel MySQL) wykorzystał tę okazję do zacieśnienia więzi z społecznością i zaprezentowania wizji rozwoju produktu. </w:t>
      </w:r>
      <w:r>
        <w:rPr>
          <w:b/>
          <w:bCs/>
        </w:rPr>
        <w:t>6 grudnia</w:t>
      </w:r>
      <w:r>
        <w:t xml:space="preserve"> na oficjalnym blogu ukazał się wpis podsumowujący globalne obchody 30-lecia MySQL</w:t>
      </w:r>
      <w:r>
        <w:rPr>
          <w:rStyle w:val="FootnoteReference"/>
        </w:rPr>
        <w:footnoteReference w:id="67"/>
      </w:r>
      <w:r>
        <w:t xml:space="preserve">. W ciągu całego roku zorganizowano szereg </w:t>
      </w:r>
      <w:r>
        <w:rPr>
          <w:b/>
          <w:bCs/>
        </w:rPr>
        <w:t>spotkań, meetupów i konferencji</w:t>
      </w:r>
      <w:r>
        <w:t xml:space="preserve"> na kilku kontynentach, od Brukseli i Tokio po San Francisco i Chengdu</w:t>
      </w:r>
      <w:r>
        <w:rPr>
          <w:rStyle w:val="FootnoteReference"/>
        </w:rPr>
        <w:footnoteReference w:id="68"/>
      </w:r>
      <w:r>
        <w:t xml:space="preserve"> </w:t>
      </w:r>
      <w:r>
        <w:rPr>
          <w:rStyle w:val="FootnoteReference"/>
        </w:rPr>
        <w:footnoteReference w:id="69"/>
      </w:r>
      <w:r>
        <w:t xml:space="preserve">. Podczas tych wydarzeń, oprócz świętowania dotychczasowych osiągnięć (MySQL jest wciąż najpopularniejszą bazą open-source na świecie), przekazywano </w:t>
      </w:r>
      <w:r>
        <w:rPr>
          <w:b/>
          <w:bCs/>
        </w:rPr>
        <w:t>aktualizacje techniczne i plany na przyszłość</w:t>
      </w:r>
      <w:r>
        <w:t xml:space="preserve">. Przykładowo, w lutowym meetupie w Tajpej przedstawiciele Oracle dzielili się informacjami o </w:t>
      </w:r>
      <w:r>
        <w:rPr>
          <w:b/>
          <w:bCs/>
        </w:rPr>
        <w:t>roadmapie MySQL</w:t>
      </w:r>
      <w:r>
        <w:t xml:space="preserve"> – prawdopodobnie omawiano tam nadchodzące wydania z serii 9.x, integrację z usługą </w:t>
      </w:r>
      <w:r>
        <w:rPr>
          <w:b/>
          <w:bCs/>
        </w:rPr>
        <w:t>HeatWave</w:t>
      </w:r>
      <w:r>
        <w:t xml:space="preserve"> i dalsze usprawnienia wydajności</w:t>
      </w:r>
      <w:r>
        <w:rPr>
          <w:rStyle w:val="FootnoteReference"/>
        </w:rPr>
        <w:footnoteReference w:id="70"/>
      </w:r>
      <w:r>
        <w:t xml:space="preserve">. Główne przesłanie jubileuszu brzmiało: </w:t>
      </w:r>
      <w:r>
        <w:rPr>
          <w:i/>
          <w:iCs/>
        </w:rPr>
        <w:t>MySQL pozostaje kluczowym elementem krajobrazu baz danych, łącząc tradycję (stabilność i prostotę, za które ceniono MySQL) z innowacją (np. integracja z chmurą OCI, opracowanie MySQL HeatWave dla zaawansowanej analityki, czy eksperymenty z AI w zapytaniach)</w:t>
      </w:r>
      <w:r>
        <w:t>.</w:t>
      </w:r>
    </w:p>
    <w:p w14:paraId="3A2B3CD9" w14:textId="77777777" w:rsidR="00B80895" w:rsidRDefault="00675E53">
      <w:r>
        <w:rPr>
          <w:b/>
          <w:bCs/>
        </w:rPr>
        <w:t>Nowy model wersjonowania i wsparcia:</w:t>
      </w:r>
      <w:r>
        <w:t xml:space="preserve"> W 2023 r. Oracle wprowadził istotną zmianę w cyklu wydań MySQL – podzielono rozwój na </w:t>
      </w:r>
      <w:r>
        <w:rPr>
          <w:b/>
          <w:bCs/>
        </w:rPr>
        <w:t>gałąź innowacyjną (Innovation Track)</w:t>
      </w:r>
      <w:r>
        <w:t xml:space="preserve"> i </w:t>
      </w:r>
      <w:r>
        <w:rPr>
          <w:b/>
          <w:bCs/>
        </w:rPr>
        <w:t>gałąź długoterminową (LTS/Bugfix)</w:t>
      </w:r>
      <w:r>
        <w:t xml:space="preserve">. Gałąź innowacyjna (obecnie seria 9.x) otrzymuje </w:t>
      </w:r>
      <w:r>
        <w:rPr>
          <w:b/>
          <w:bCs/>
        </w:rPr>
        <w:t>nowe funkcje</w:t>
      </w:r>
      <w:r>
        <w:t xml:space="preserve"> i aktualizacje co kilka miesięcy, natomiast gałąź LTS (obecnie seria 8.4.x) skupia się tylko na poprawkach błędów i bezpieczeństwa, zapewniając dłuższą stabilność bez zmian funkcjonalnych</w:t>
      </w:r>
      <w:r>
        <w:rPr>
          <w:rStyle w:val="FootnoteReference"/>
        </w:rPr>
        <w:footnoteReference w:id="71"/>
      </w:r>
      <w:r>
        <w:t xml:space="preserve">. W minionym tygodniu zaktualizowano dokumentację Oracle, informując o </w:t>
      </w:r>
      <w:r>
        <w:rPr>
          <w:b/>
          <w:bCs/>
        </w:rPr>
        <w:t>wydłużeniu okresu wsparcia</w:t>
      </w:r>
      <w:r>
        <w:t xml:space="preserve"> dla innowacyjnych wydań MySQL: wszystkie wersje </w:t>
      </w:r>
      <w:r>
        <w:rPr>
          <w:b/>
          <w:bCs/>
        </w:rPr>
        <w:t>wydane od listopada 2025</w:t>
      </w:r>
      <w:r>
        <w:t xml:space="preserve"> będą utrzymywane jako aktualne przez około </w:t>
      </w:r>
      <w:r>
        <w:rPr>
          <w:b/>
          <w:bCs/>
        </w:rPr>
        <w:t>5 miesięcy</w:t>
      </w:r>
      <w:r>
        <w:t xml:space="preserve"> (dopiero potem zostaną oznaczone jako deprecated), podczas gdy wcześniej cykl ten wynosił ~3 miesiące</w:t>
      </w:r>
      <w:r>
        <w:rPr>
          <w:rStyle w:val="FootnoteReference"/>
        </w:rPr>
        <w:footnoteReference w:id="72"/>
      </w:r>
      <w:r>
        <w:t xml:space="preserve">. Innymi słowy, począwszy od MySQL 9.4 i nowszych, użytkownicy mają więcej czasu na zaplanowanie migracji zanim dana wersja innowacyjna zostanie zastąpiona kolejną. Ta zmiana wynika zapewne z opinii użytkowników, że 3 miesiące to zbyt krótko, by testować nowe funkcje w środowiskach eksperymentalnych przed pojawieniem się kolejnej iteracji. </w:t>
      </w:r>
      <w:r>
        <w:rPr>
          <w:b/>
          <w:bCs/>
        </w:rPr>
        <w:t>Oracle rekomenduje</w:t>
      </w:r>
      <w:r>
        <w:t xml:space="preserve"> korzystanie z wydań innowacyjnych (9.x) tym, którzy potrzebują najnowszych funkcjonalności, zaś gałąź </w:t>
      </w:r>
      <w:r>
        <w:rPr>
          <w:b/>
          <w:bCs/>
        </w:rPr>
        <w:t>LTS (np. MySQL 8.4.x)</w:t>
      </w:r>
      <w:r>
        <w:t xml:space="preserve"> jest zalecana do środowisk </w:t>
      </w:r>
      <w:r>
        <w:t>produkcyjnych wymagających maksymalnej stabilności</w:t>
      </w:r>
      <w:r>
        <w:rPr>
          <w:rStyle w:val="FootnoteReference"/>
        </w:rPr>
        <w:footnoteReference w:id="73"/>
      </w:r>
      <w:r>
        <w:t>.</w:t>
      </w:r>
    </w:p>
    <w:p w14:paraId="6FFB3222" w14:textId="77777777" w:rsidR="00B80895" w:rsidRDefault="00675E53">
      <w:r>
        <w:rPr>
          <w:b/>
          <w:bCs/>
        </w:rPr>
        <w:t>Informacje o wsparciu platform:</w:t>
      </w:r>
      <w:r>
        <w:t xml:space="preserve"> W oficjalnych komunikatach wsparcia MySQL z 15 grudnia ogłoszono zakończenie wsparcia dla przestarzałych platform systemowych. Przykładowo, zaplanowano wycofanie binariów MySQL dla </w:t>
      </w:r>
      <w:r>
        <w:rPr>
          <w:b/>
          <w:bCs/>
        </w:rPr>
        <w:t>Fedora 41</w:t>
      </w:r>
      <w:r>
        <w:t xml:space="preserve"> (system ten osiągnął EOL) – począwszy od kolejnych wersji MySQL nie będą już dostarczane paczki na tę platformę. Tego typu ogłoszenia są rutynowe i mają na celu skoncentrowanie zasobów inżynieryjnych na nowszych systemach operacyjnych.</w:t>
      </w:r>
    </w:p>
    <w:p w14:paraId="5880FEE8" w14:textId="77777777" w:rsidR="00B80895" w:rsidRDefault="00675E53">
      <w:r>
        <w:t xml:space="preserve">Podsumowując, </w:t>
      </w:r>
      <w:r>
        <w:rPr>
          <w:b/>
          <w:bCs/>
        </w:rPr>
        <w:t>społeczność MySQL</w:t>
      </w:r>
      <w:r>
        <w:t xml:space="preserve"> kończy rok 2025 celebrując swój dorobek i przygotowując się do kolejnej fazy rozwoju produktu. Choć w ostatnim tygodniu nie pojawiły się nowe wersje czy głośne aktualności techniczne, MySQL utrzymuje stabilne tempo innowacji – następne duże kroki (jak </w:t>
      </w:r>
      <w:r>
        <w:rPr>
          <w:b/>
          <w:bCs/>
        </w:rPr>
        <w:t>MySQL 9.5</w:t>
      </w:r>
      <w:r>
        <w:t xml:space="preserve"> czy dalsza ewolucja MySQL HeatWave) są zapewne kwestią najbliższych miesięcy. Oficjalne źródła Oracle sugerują, że nacisk będzie położony na ułatwienie migracji do nowych wersji (stąd wydłużenie wsparcia) oraz dalszą integrację z ch</w:t>
      </w:r>
      <w:r>
        <w:t>murą i AI, by MySQL pozostał atrakcyjny zarówno dla deweloperów aplikacji webowych, jak i nowoczesnych obciążeń analitycznych.</w:t>
      </w:r>
    </w:p>
    <w:p w14:paraId="2EDCA60D" w14:textId="77777777" w:rsidR="00B80895" w:rsidRDefault="00675E53">
      <w:pPr>
        <w:pStyle w:val="Heading2"/>
      </w:pPr>
      <w:r>
        <w:t>MariaDB – najnowsze aktualności</w:t>
      </w:r>
    </w:p>
    <w:p w14:paraId="4E90FF97" w14:textId="77777777" w:rsidR="00B80895" w:rsidRDefault="00675E53">
      <w:r>
        <w:rPr>
          <w:b/>
          <w:bCs/>
        </w:rPr>
        <w:t>Wydania Maintenance Q4 2025 (Enterprise Server):</w:t>
      </w:r>
      <w:r>
        <w:t xml:space="preserve"> W dniu 11 grudnia MariaDB Corporation ogłosiła dostępność </w:t>
      </w:r>
      <w:r>
        <w:rPr>
          <w:b/>
          <w:bCs/>
        </w:rPr>
        <w:t>trzech nowych wydań maintenance</w:t>
      </w:r>
      <w:r>
        <w:t xml:space="preserve"> dla komercyjnej linii </w:t>
      </w:r>
      <w:r>
        <w:rPr>
          <w:b/>
          <w:bCs/>
        </w:rPr>
        <w:t>MariaDB Enterprise Server</w:t>
      </w:r>
      <w:r>
        <w:rPr>
          <w:rStyle w:val="FootnoteReference"/>
        </w:rPr>
        <w:footnoteReference w:id="74"/>
      </w:r>
      <w:r>
        <w:t>. Są to:</w:t>
      </w:r>
    </w:p>
    <w:p w14:paraId="7DD151E6" w14:textId="77777777" w:rsidR="00B80895" w:rsidRDefault="00675E53">
      <w:pPr>
        <w:pStyle w:val="ListParagraph"/>
        <w:numPr>
          <w:ilvl w:val="0"/>
          <w:numId w:val="4"/>
        </w:numPr>
      </w:pPr>
      <w:r>
        <w:rPr>
          <w:b/>
          <w:bCs/>
        </w:rPr>
        <w:t>MariaDB Enterprise Server 11.8.5‑2</w:t>
      </w:r>
      <w:r>
        <w:t xml:space="preserve"> (najświeższa poprawka dla gałęzi 11.8),</w:t>
      </w:r>
    </w:p>
    <w:p w14:paraId="39D320C7" w14:textId="77777777" w:rsidR="00B80895" w:rsidRDefault="00675E53">
      <w:pPr>
        <w:pStyle w:val="ListParagraph"/>
        <w:numPr>
          <w:ilvl w:val="0"/>
          <w:numId w:val="4"/>
        </w:numPr>
      </w:pPr>
      <w:r>
        <w:rPr>
          <w:b/>
          <w:bCs/>
        </w:rPr>
        <w:t>MariaDB Enterprise Server 11.4.9‑6</w:t>
      </w:r>
      <w:r>
        <w:t xml:space="preserve"> (poprawka dla wcześniejszej gałęzi 11.4),</w:t>
      </w:r>
    </w:p>
    <w:p w14:paraId="151AC7DF" w14:textId="77777777" w:rsidR="00B80895" w:rsidRDefault="00675E53">
      <w:pPr>
        <w:pStyle w:val="ListParagraph"/>
        <w:numPr>
          <w:ilvl w:val="0"/>
          <w:numId w:val="4"/>
        </w:numPr>
      </w:pPr>
      <w:r>
        <w:rPr>
          <w:b/>
          <w:bCs/>
        </w:rPr>
        <w:t>MariaDB Enterprise Server 10.6.24‑20</w:t>
      </w:r>
      <w:r>
        <w:t xml:space="preserve"> (poprawka dla starszej, długoterminowo wspieranej gałęzi 10.6).</w:t>
      </w:r>
    </w:p>
    <w:p w14:paraId="5271BA28" w14:textId="77777777" w:rsidR="00B80895" w:rsidRDefault="00675E53">
      <w:r>
        <w:t xml:space="preserve">Te wydania zawierają </w:t>
      </w:r>
      <w:r>
        <w:rPr>
          <w:b/>
          <w:bCs/>
        </w:rPr>
        <w:t>backporty wybranych funkcji</w:t>
      </w:r>
      <w:r>
        <w:t xml:space="preserve"> z nowszych wersji, dzięki czemu użytkownicy starszych wersji Enterprise mogą korzystać z udoskonaleń bez konieczności pełnej aktualizacji do najnowszej gałęzi</w:t>
      </w:r>
      <w:r>
        <w:rPr>
          <w:rStyle w:val="FootnoteReference"/>
        </w:rPr>
        <w:footnoteReference w:id="75"/>
      </w:r>
      <w:r>
        <w:t xml:space="preserve">. Jest to element strategii MariaDB polegającej na oferowaniu klientom korporacyjnym długiego wsparcia wraz z </w:t>
      </w:r>
      <w:r>
        <w:rPr>
          <w:b/>
          <w:bCs/>
        </w:rPr>
        <w:t>częściowym przenoszeniem nowych funkcjonalności</w:t>
      </w:r>
      <w:r>
        <w:t xml:space="preserve"> wstecz (o ile jest to bezpieczne i stabilne)</w:t>
      </w:r>
      <w:r>
        <w:rPr>
          <w:rStyle w:val="FootnoteReference"/>
        </w:rPr>
        <w:footnoteReference w:id="76"/>
      </w:r>
      <w:r>
        <w:t>.</w:t>
      </w:r>
    </w:p>
    <w:p w14:paraId="0B8E9CC5" w14:textId="77777777" w:rsidR="00B80895" w:rsidRDefault="00675E53">
      <w:r>
        <w:rPr>
          <w:b/>
          <w:bCs/>
        </w:rPr>
        <w:t>Nowe funkcje i zmiany w MariaDB Enterprise 11.8.5‑2:</w:t>
      </w:r>
      <w:r>
        <w:t xml:space="preserve"> W najnowszej gałęzi 11.8 wprowadzono szereg usprawnień:</w:t>
      </w:r>
    </w:p>
    <w:p w14:paraId="6717C7D6" w14:textId="77777777" w:rsidR="00B80895" w:rsidRDefault="00675E53">
      <w:pPr>
        <w:pStyle w:val="ListParagraph"/>
        <w:numPr>
          <w:ilvl w:val="0"/>
          <w:numId w:val="5"/>
        </w:numPr>
      </w:pPr>
      <w:r>
        <w:t xml:space="preserve">Dodano </w:t>
      </w:r>
      <w:r>
        <w:rPr>
          <w:b/>
          <w:bCs/>
        </w:rPr>
        <w:t>buforowanie zapisów logów</w:t>
      </w:r>
      <w:r>
        <w:t xml:space="preserve"> (log write buffering) w pluginach audytu </w:t>
      </w:r>
      <w:r>
        <w:rPr>
          <w:b/>
          <w:bCs/>
        </w:rPr>
        <w:t>SERVER_AUDIT</w:t>
      </w:r>
      <w:r>
        <w:t xml:space="preserve"> i </w:t>
      </w:r>
      <w:r>
        <w:rPr>
          <w:b/>
          <w:bCs/>
        </w:rPr>
        <w:t>SERVER_AUDIT2</w:t>
      </w:r>
      <w:r>
        <w:t>, co poprawia wydajność i niezawodność rejestrowania zdarzeń audytowych</w:t>
      </w:r>
      <w:r>
        <w:rPr>
          <w:rStyle w:val="FootnoteReference"/>
        </w:rPr>
        <w:footnoteReference w:id="77"/>
      </w:r>
      <w:r>
        <w:t>.</w:t>
      </w:r>
    </w:p>
    <w:p w14:paraId="3B060E0C" w14:textId="77777777" w:rsidR="00B80895" w:rsidRDefault="00675E53">
      <w:pPr>
        <w:pStyle w:val="ListParagraph"/>
        <w:numPr>
          <w:ilvl w:val="0"/>
          <w:numId w:val="5"/>
        </w:numPr>
      </w:pPr>
      <w:r>
        <w:t xml:space="preserve">W replikacji dodano </w:t>
      </w:r>
      <w:r>
        <w:rPr>
          <w:b/>
          <w:bCs/>
        </w:rPr>
        <w:t>dwa nowe pola</w:t>
      </w:r>
      <w:r>
        <w:t xml:space="preserve"> w poleceniu SHOW REPLICA STATUS: </w:t>
      </w:r>
      <w:r>
        <w:rPr>
          <w:b/>
          <w:bCs/>
        </w:rPr>
        <w:t>Connects_Tried</w:t>
      </w:r>
      <w:r>
        <w:t xml:space="preserve"> oraz </w:t>
      </w:r>
      <w:r>
        <w:rPr>
          <w:b/>
          <w:bCs/>
        </w:rPr>
        <w:t>Master_Retry_Count</w:t>
      </w:r>
      <w:r>
        <w:t xml:space="preserve"> – dostarczają one bardziej szczegółowych informacji o liczbie prób połączeń i ponowień połączenia z serwerem nadrzędnym (master) przez replikę</w:t>
      </w:r>
      <w:r>
        <w:rPr>
          <w:rStyle w:val="FootnoteReference"/>
        </w:rPr>
        <w:footnoteReference w:id="78"/>
      </w:r>
      <w:r>
        <w:t>. Dzięki temu administrator może lepiej monitorować stabilność połączenia repliki z głównym węzłem.</w:t>
      </w:r>
    </w:p>
    <w:p w14:paraId="10B65DC8" w14:textId="77777777" w:rsidR="00B80895" w:rsidRDefault="00675E53">
      <w:pPr>
        <w:pStyle w:val="ListParagraph"/>
        <w:numPr>
          <w:ilvl w:val="0"/>
          <w:numId w:val="5"/>
        </w:numPr>
      </w:pPr>
      <w:r>
        <w:t xml:space="preserve">W zakresie uwierzytelniania: zaimplementowano obsługę wtyczki </w:t>
      </w:r>
      <w:r>
        <w:rPr>
          <w:b/>
          <w:bCs/>
        </w:rPr>
        <w:t>caching_sha2_password</w:t>
      </w:r>
      <w:r>
        <w:t xml:space="preserve"> (znanej z MySQL) – jest ona teraz dostępna w MariaDB Enterprise 11.8, choć domyślnie </w:t>
      </w:r>
      <w:r>
        <w:rPr>
          <w:b/>
          <w:bCs/>
        </w:rPr>
        <w:t>nie jest włączona</w:t>
      </w:r>
      <w:r>
        <w:rPr>
          <w:rStyle w:val="FootnoteReference"/>
        </w:rPr>
        <w:footnoteReference w:id="79"/>
      </w:r>
      <w:r>
        <w:t>. Ta wtyczka pozwala na bezpieczniejsze przechowywanie hasła (SHA2 z cachingiem) i ułatwia migracje/zgodność z MySQL, jednak nie zastępuje dotychczasowych metod uwierzytelniania dopóki administrator sam jej nie aktywuje.</w:t>
      </w:r>
    </w:p>
    <w:p w14:paraId="644BD1B7" w14:textId="77777777" w:rsidR="00B80895" w:rsidRDefault="00675E53">
      <w:pPr>
        <w:pStyle w:val="ListParagraph"/>
        <w:numPr>
          <w:ilvl w:val="0"/>
          <w:numId w:val="5"/>
        </w:numPr>
      </w:pPr>
      <w:r>
        <w:rPr>
          <w:b/>
          <w:bCs/>
        </w:rPr>
        <w:t>Inne zmiany:</w:t>
      </w:r>
      <w:r>
        <w:t xml:space="preserve"> Usunięto dyrektywę PrivateDevices=false z definicji usługi systemd dla serwera MariaDB – upraszcza to konfigurację w niektórych środowiskach (prawdopodobnie poprawka problemu z uprawnieniami do urządzeń)</w:t>
      </w:r>
      <w:r>
        <w:rPr>
          <w:rStyle w:val="FootnoteReference"/>
        </w:rPr>
        <w:footnoteReference w:id="80"/>
      </w:r>
      <w:r>
        <w:t xml:space="preserve">. Zaktualizowano wtyczkę </w:t>
      </w:r>
      <w:r>
        <w:rPr>
          <w:b/>
          <w:bCs/>
        </w:rPr>
        <w:t>HashiCorp Key Management (Vault)</w:t>
      </w:r>
      <w:r>
        <w:t>, czyniąc ją bardziej odporną na błędy komunikacji z serwerem Vault (poprawa stabilności integracji z zewnętrznym magazynem kluczy)</w:t>
      </w:r>
      <w:r>
        <w:rPr>
          <w:rStyle w:val="FootnoteReference"/>
        </w:rPr>
        <w:footnoteReference w:id="81"/>
      </w:r>
      <w:r>
        <w:t xml:space="preserve">. Dodatkowo MariaDB 11.8.5‑2 zawiera najnowszą wersję biblioteki klastrowej </w:t>
      </w:r>
      <w:r>
        <w:rPr>
          <w:b/>
          <w:bCs/>
        </w:rPr>
        <w:t>Galera (v26.4.24)</w:t>
      </w:r>
      <w:r>
        <w:t xml:space="preserve"> oraz komponentu analitycznego </w:t>
      </w:r>
      <w:r>
        <w:rPr>
          <w:b/>
          <w:bCs/>
        </w:rPr>
        <w:t>ColumnStore (v25.10.2)</w:t>
      </w:r>
      <w:r>
        <w:rPr>
          <w:rStyle w:val="FootnoteReference"/>
        </w:rPr>
        <w:footnoteReference w:id="82"/>
      </w:r>
      <w:r>
        <w:t xml:space="preserve"> – zapewniając ulepszenia wydajności i zgodności z bieżącymi standardami tych projektów.</w:t>
      </w:r>
    </w:p>
    <w:p w14:paraId="50A236AF" w14:textId="77777777" w:rsidR="00B80895" w:rsidRDefault="00675E53">
      <w:r>
        <w:rPr>
          <w:b/>
          <w:bCs/>
        </w:rPr>
        <w:t>Backporty w MariaDB Enterprise 11.4.9‑6 i 10.6.24‑20:</w:t>
      </w:r>
      <w:r>
        <w:t xml:space="preserve"> Wydania dla starszych gałęzi (11.4 i 10.6) otrzymały podzestaw powyższych usprawnień:</w:t>
      </w:r>
    </w:p>
    <w:p w14:paraId="3B79A0AC" w14:textId="77777777" w:rsidR="00B80895" w:rsidRDefault="00675E53">
      <w:pPr>
        <w:pStyle w:val="ListParagraph"/>
        <w:numPr>
          <w:ilvl w:val="0"/>
          <w:numId w:val="6"/>
        </w:numPr>
      </w:pPr>
      <w:r>
        <w:t xml:space="preserve">W </w:t>
      </w:r>
      <w:r>
        <w:rPr>
          <w:b/>
          <w:bCs/>
        </w:rPr>
        <w:t>11.4.9‑6</w:t>
      </w:r>
      <w:r>
        <w:t xml:space="preserve"> backportowano m.in. </w:t>
      </w:r>
      <w:r>
        <w:rPr>
          <w:b/>
          <w:bCs/>
        </w:rPr>
        <w:t>buforowanie logów audytu</w:t>
      </w:r>
      <w:r>
        <w:t xml:space="preserve">, dodano pola </w:t>
      </w:r>
      <w:r>
        <w:rPr>
          <w:b/>
          <w:bCs/>
        </w:rPr>
        <w:t>Connects_Tried</w:t>
      </w:r>
      <w:r>
        <w:t xml:space="preserve"> i </w:t>
      </w:r>
      <w:r>
        <w:rPr>
          <w:b/>
          <w:bCs/>
        </w:rPr>
        <w:t>Master_Retry_Count</w:t>
      </w:r>
      <w:r>
        <w:t xml:space="preserve"> w statusie repliki oraz udostępniono wtyczkę </w:t>
      </w:r>
      <w:r>
        <w:rPr>
          <w:b/>
          <w:bCs/>
        </w:rPr>
        <w:t>caching_sha2_password</w:t>
      </w:r>
      <w:r>
        <w:t xml:space="preserve"> (analogicznie jak w 11.8)</w:t>
      </w:r>
      <w:r>
        <w:rPr>
          <w:rStyle w:val="FootnoteReference"/>
        </w:rPr>
        <w:footnoteReference w:id="83"/>
      </w:r>
      <w:r>
        <w:t>. Wprowadzono też powiązane zmiany w systemd, pluginie Vault, aktualizacje Galery (także do 26.4.24) i ColumnStore (do v25.10.2) w ramach tej wersji</w:t>
      </w:r>
      <w:r>
        <w:rPr>
          <w:rStyle w:val="FootnoteReference"/>
        </w:rPr>
        <w:footnoteReference w:id="84"/>
      </w:r>
      <w:r>
        <w:t>.</w:t>
      </w:r>
    </w:p>
    <w:p w14:paraId="620CCD52" w14:textId="77777777" w:rsidR="00B80895" w:rsidRDefault="00675E53">
      <w:pPr>
        <w:pStyle w:val="ListParagraph"/>
        <w:numPr>
          <w:ilvl w:val="0"/>
          <w:numId w:val="6"/>
        </w:numPr>
      </w:pPr>
      <w:r>
        <w:t xml:space="preserve">W </w:t>
      </w:r>
      <w:r>
        <w:rPr>
          <w:b/>
          <w:bCs/>
        </w:rPr>
        <w:t>10.6.24‑20</w:t>
      </w:r>
      <w:r>
        <w:t xml:space="preserve"> (gałąź bardzo dojrzała, dawny LTS) również dodano pola </w:t>
      </w:r>
      <w:r>
        <w:rPr>
          <w:b/>
          <w:bCs/>
        </w:rPr>
        <w:t>Connects_Tried</w:t>
      </w:r>
      <w:r>
        <w:t xml:space="preserve"> i </w:t>
      </w:r>
      <w:r>
        <w:rPr>
          <w:b/>
          <w:bCs/>
        </w:rPr>
        <w:t>Master_Retry_Count</w:t>
      </w:r>
      <w:r>
        <w:t xml:space="preserve"> oraz nawet dodatkowo zaimplementowano obsługę parametru --replicate-rewrite-db (możliwość przepisania nazw baz przy replikacji) w zmiennych systemowych i SHOW REPLICA STATUS</w:t>
      </w:r>
      <w:r>
        <w:rPr>
          <w:rStyle w:val="FootnoteReference"/>
        </w:rPr>
        <w:footnoteReference w:id="85"/>
      </w:r>
      <w:r>
        <w:t xml:space="preserve">. Pojawia się także wtyczka </w:t>
      </w:r>
      <w:r>
        <w:rPr>
          <w:b/>
          <w:bCs/>
        </w:rPr>
        <w:t>caching_sha2_password</w:t>
      </w:r>
      <w:r>
        <w:t xml:space="preserve"> (backport z nowszych wydań)</w:t>
      </w:r>
      <w:r>
        <w:rPr>
          <w:rStyle w:val="FootnoteReference"/>
        </w:rPr>
        <w:footnoteReference w:id="86"/>
      </w:r>
      <w:r>
        <w:t xml:space="preserve">. Zaktualizowano komponent </w:t>
      </w:r>
      <w:r>
        <w:rPr>
          <w:b/>
          <w:bCs/>
        </w:rPr>
        <w:t>Galera (v26.4.24)</w:t>
      </w:r>
      <w:r>
        <w:t xml:space="preserve"> i </w:t>
      </w:r>
      <w:r>
        <w:rPr>
          <w:b/>
          <w:bCs/>
        </w:rPr>
        <w:t>ColumnStore (v23.10.6)</w:t>
      </w:r>
      <w:r>
        <w:t xml:space="preserve"> odpowiednio do maksymalnych bezpiecznych wersji kompatybilnych z serią 10.6</w:t>
      </w:r>
      <w:r>
        <w:rPr>
          <w:rStyle w:val="FootnoteReference"/>
        </w:rPr>
        <w:footnoteReference w:id="87"/>
      </w:r>
      <w:r>
        <w:t>. Poprawiono stabilność pluginu Vault również w tej gałęzi</w:t>
      </w:r>
      <w:r>
        <w:rPr>
          <w:rStyle w:val="FootnoteReference"/>
        </w:rPr>
        <w:footnoteReference w:id="88"/>
      </w:r>
      <w:r>
        <w:t>. Te zmiany pokazują, że nawet edycja 10.6 (wydana pierwotnie w 2021 r.) nadal otrzymuje ważne ulepszenia, co jest ukłonem w stronę klientów korporacyjnych wymagających długiego wsparcia.</w:t>
      </w:r>
    </w:p>
    <w:p w14:paraId="0E75BD07" w14:textId="77777777" w:rsidR="00B80895" w:rsidRDefault="00675E53">
      <w:r>
        <w:rPr>
          <w:b/>
          <w:bCs/>
        </w:rPr>
        <w:t>Wsparcie platform i inne informacje:</w:t>
      </w:r>
      <w:r>
        <w:t xml:space="preserve"> W notkach do wydań MariaDB zaznaczono, że zbliżające się EOL systemów </w:t>
      </w:r>
      <w:r>
        <w:rPr>
          <w:b/>
          <w:bCs/>
        </w:rPr>
        <w:t>Windows 10 (22H2)</w:t>
      </w:r>
      <w:r>
        <w:t xml:space="preserve"> oraz </w:t>
      </w:r>
      <w:r>
        <w:rPr>
          <w:b/>
          <w:bCs/>
        </w:rPr>
        <w:t>Windows 11 (23H2)</w:t>
      </w:r>
      <w:r>
        <w:t xml:space="preserve"> oznacza, iż bieżące wersje MariaDB Enterprise </w:t>
      </w:r>
      <w:r>
        <w:rPr>
          <w:b/>
          <w:bCs/>
        </w:rPr>
        <w:t>są ostatnimi wspierającymi te platformy</w:t>
      </w:r>
      <w:r>
        <w:rPr>
          <w:rStyle w:val="FootnoteReference"/>
        </w:rPr>
        <w:footnoteReference w:id="89"/>
      </w:r>
      <w:r>
        <w:t>. Przyszłe wydania nie będą już testowane ani oficjalnie wspierane na tych wersjach Windows. To ważne dla administratorów planujących migracje – MariaDB sygnalizuje potrzebę przejścia na nowsze wydania Windows (bądź systemy Linux) w kontekście przyszłych aktualizacji bazy. W obszarze licencjonowania nie zaszły zmiany – MariaDB Community pozostaje projektem open-source (GPLv2), a Enterprise jest oferowany na licencjach komercyjnych subskrypcyjnych jak dotąd.</w:t>
      </w:r>
    </w:p>
    <w:p w14:paraId="0084550D" w14:textId="77777777" w:rsidR="00B80895" w:rsidRDefault="00675E53">
      <w:r>
        <w:rPr>
          <w:b/>
          <w:bCs/>
        </w:rPr>
        <w:t>MariaDB Community Server:</w:t>
      </w:r>
      <w:r>
        <w:t xml:space="preserve"> Choć powyższe dotyczą edycji Enterprise, warto wspomnieć, że projekt </w:t>
      </w:r>
      <w:r>
        <w:rPr>
          <w:b/>
          <w:bCs/>
        </w:rPr>
        <w:t>MariaDB Community Server</w:t>
      </w:r>
      <w:r>
        <w:t xml:space="preserve"> (rozwijany przez MariaDB Foundation, otwartoźródłowy odpowiednik) jest obecnie w serii </w:t>
      </w:r>
      <w:r>
        <w:rPr>
          <w:b/>
          <w:bCs/>
        </w:rPr>
        <w:t>12.x</w:t>
      </w:r>
      <w:r>
        <w:t xml:space="preserve">. Najnowsza stabilna wersja Community to </w:t>
      </w:r>
      <w:r>
        <w:rPr>
          <w:b/>
          <w:bCs/>
        </w:rPr>
        <w:t>MariaDB 12.1.2</w:t>
      </w:r>
      <w:r>
        <w:t xml:space="preserve"> (wydana w listopadzie 2025), a w przygotowaniu jest gałąź </w:t>
      </w:r>
      <w:r>
        <w:rPr>
          <w:b/>
          <w:bCs/>
        </w:rPr>
        <w:t>12.2</w:t>
      </w:r>
      <w:r>
        <w:t xml:space="preserve"> (RC wydany 21 listopada 2025). MariaDB 12 wprowadza m.in. obsługę JSON Table, ulepszenia zapytań rozproszonych i optymalizatora kosztowego. Te wydania nie były jednak tematem oficjalnych komunikatów w ostatn</w:t>
      </w:r>
      <w:r>
        <w:t>im tygodniu – komunikacja skupiła się na wersjach Enterprise i integracji z produktami komercyjnymi MariaDB (Platform X5 itp.).</w:t>
      </w:r>
    </w:p>
    <w:p w14:paraId="51A1F5B5" w14:textId="77777777" w:rsidR="00B80895" w:rsidRDefault="00675E53">
      <w:r>
        <w:t xml:space="preserve">Podsumowując, </w:t>
      </w:r>
      <w:r>
        <w:rPr>
          <w:b/>
          <w:bCs/>
        </w:rPr>
        <w:t>MariaDB</w:t>
      </w:r>
      <w:r>
        <w:t xml:space="preserve"> kończy rok 2025 z kolejną porcją stabilizujących aktualizacji dla swoich klientów korporacyjnych. Poprawki te zapewniają większą spójność funkcjonalną między różnymi wersjami (dzięki backportom), co świadczy o dojrzałości produktu i dbałości o użytkowników z konserwatywnym cyklem aktualizacji. Nie odnotowano w ostatnich dniach głośnych zapowiedzi nowych funkcjonalności – te zapewne zobaczymy dopiero przy premierach większych wydań (np. MariaDB 12.2 GA) w przyszłym roku.</w:t>
      </w:r>
    </w:p>
    <w:p w14:paraId="05A6262C" w14:textId="77777777" w:rsidR="00B80895" w:rsidRDefault="00675E53">
      <w:pPr>
        <w:pStyle w:val="Heading2"/>
      </w:pPr>
      <w:r>
        <w:t>PostgreSQL – najnowsze aktualności</w:t>
      </w:r>
    </w:p>
    <w:p w14:paraId="600D5E7E" w14:textId="77777777" w:rsidR="00B80895" w:rsidRDefault="00675E53">
      <w:r>
        <w:rPr>
          <w:b/>
          <w:bCs/>
        </w:rPr>
        <w:t>Aktualizacje rdzenia PostgreSQL:</w:t>
      </w:r>
      <w:r>
        <w:t xml:space="preserve"> W minionym tygodniu </w:t>
      </w:r>
      <w:r>
        <w:rPr>
          <w:b/>
          <w:bCs/>
        </w:rPr>
        <w:t>nie wydano nowej wersji</w:t>
      </w:r>
      <w:r>
        <w:t xml:space="preserve"> samego silnika PostgreSQL. Projekt PostgreSQL zazwyczaj publikuje zbiorcze aktualizacje kwartalnie; ostatnia taka seria ukazała się </w:t>
      </w:r>
      <w:r>
        <w:rPr>
          <w:b/>
          <w:bCs/>
        </w:rPr>
        <w:t>13 listopada 2025</w:t>
      </w:r>
      <w:r>
        <w:t xml:space="preserve">, obejmując </w:t>
      </w:r>
      <w:r>
        <w:rPr>
          <w:b/>
          <w:bCs/>
        </w:rPr>
        <w:t>PostgreSQL 18.1</w:t>
      </w:r>
      <w:r>
        <w:t xml:space="preserve"> (pierwszą aktualizację poprawkową najnowszej głównej wersji 18) oraz odpowiadające poprawki dla starszych, wspieranych linii: </w:t>
      </w:r>
      <w:r>
        <w:rPr>
          <w:b/>
          <w:bCs/>
        </w:rPr>
        <w:t>17.7, 16.11, 15.15, 14.20, 13.23</w:t>
      </w:r>
      <w:r>
        <w:t>. Te listopadowe wydania zawierały poprawki błędów i zabezpieczeń zgromadzone od poprzedniego kwartału. Od tamtej pory (tj. w grudni</w:t>
      </w:r>
      <w:r>
        <w:t xml:space="preserve">u) </w:t>
      </w:r>
      <w:r>
        <w:rPr>
          <w:b/>
          <w:bCs/>
        </w:rPr>
        <w:t>nie było kolejnych wydań</w:t>
      </w:r>
      <w:r>
        <w:t xml:space="preserve"> rdzenia – kolejne planowane aktualizacje pojawią się zapewne w lutym 2026. Z perspektywy ostatniego tygodnia oznacza to brak nowych funkcji czy zmian w samym silniku PostgreSQL. </w:t>
      </w:r>
      <w:r>
        <w:rPr>
          <w:b/>
          <w:bCs/>
        </w:rPr>
        <w:t>PostgreSQL 18</w:t>
      </w:r>
      <w:r>
        <w:t xml:space="preserve"> pozostaje najnowszą wersją główną (wydaną jesienią 2025) i jest powszechnie chwalony za ulepszenia wydajności zapytań, wprowadzenie asynchronicznej repartycji tabel, oraz deduplikację indeksów B-tree – jednak te nowości były komunikowane już wcześniej w oficjalnym ogłoszeniu wydania 18.0. W </w:t>
      </w:r>
      <w:r>
        <w:t>tym tygodniu zespół PostgreSQL nie publikował nowych komunikatów związanych z samym silnikiem.</w:t>
      </w:r>
    </w:p>
    <w:p w14:paraId="17EA6F9D" w14:textId="77777777" w:rsidR="00B80895" w:rsidRDefault="00675E53">
      <w:r>
        <w:rPr>
          <w:b/>
          <w:bCs/>
        </w:rPr>
        <w:t>Wiadomości społeczności i ekosystemu:</w:t>
      </w:r>
      <w:r>
        <w:t xml:space="preserve"> Choć core PostgreSQL był „cicho” w ostatnich dniach, dużo działo się w ekosystemie narzędzi i rozszerzeń, co również stanowi ważną część nowości dla użytkowników PostgreSQL:</w:t>
      </w:r>
    </w:p>
    <w:p w14:paraId="779490F1" w14:textId="77777777" w:rsidR="00B80895" w:rsidRDefault="00675E53">
      <w:pPr>
        <w:pStyle w:val="ListParagraph"/>
        <w:numPr>
          <w:ilvl w:val="0"/>
          <w:numId w:val="7"/>
        </w:numPr>
      </w:pPr>
      <w:r>
        <w:rPr>
          <w:b/>
          <w:bCs/>
        </w:rPr>
        <w:t>Narzędzia administracyjne:</w:t>
      </w:r>
      <w:r>
        <w:t xml:space="preserve"> Zespół odpowiedzialny za pgAdmin ogłosił </w:t>
      </w:r>
      <w:r>
        <w:rPr>
          <w:b/>
          <w:bCs/>
        </w:rPr>
        <w:t>wydanie pgAdmin 4 w wersji 9.11</w:t>
      </w:r>
      <w:r>
        <w:t xml:space="preserve"> (11 grudnia 2025)</w:t>
      </w:r>
      <w:r>
        <w:rPr>
          <w:rStyle w:val="FootnoteReference"/>
        </w:rPr>
        <w:footnoteReference w:id="90"/>
      </w:r>
      <w:r>
        <w:t xml:space="preserve">. </w:t>
      </w:r>
      <w:r>
        <w:rPr>
          <w:b/>
          <w:bCs/>
        </w:rPr>
        <w:t>pgAdmin 4</w:t>
      </w:r>
      <w:r>
        <w:t xml:space="preserve"> to oficjalne, rozbudowane narzędzie graficzne do zarządzania serwerami PostgreSQL. W wersji 9.11 skupiono się na poprawkach błędów i drobnych usprawnieniach interfejsu – m.in. ulepszono edytor zapytań oraz zarządzanie połączeniami. Jednocześnie zaktualizowano komponenty zależne (np. pakiet runtime Qt i biblioteki Python) w celu poprawy stabilności. Choć nie wprowadzono przełomowych funkcji, posiadacze pgAdmina są zachęcani do aktualizacji dla uzyskania najnowszych poprawek. Również projekt </w:t>
      </w:r>
      <w:r>
        <w:rPr>
          <w:b/>
          <w:bCs/>
        </w:rPr>
        <w:t>Pgpoo</w:t>
      </w:r>
      <w:r>
        <w:rPr>
          <w:b/>
          <w:bCs/>
        </w:rPr>
        <w:t>l-II</w:t>
      </w:r>
      <w:r>
        <w:t xml:space="preserve"> wypuścił nowe wersje: </w:t>
      </w:r>
      <w:r>
        <w:rPr>
          <w:b/>
          <w:bCs/>
        </w:rPr>
        <w:t>4.6.5, 4.5.10, 4.4.15 i 4.3.18</w:t>
      </w:r>
      <w:r>
        <w:t xml:space="preserve"> (w zależności od utrzymywanej gałęzi)</w:t>
      </w:r>
      <w:r>
        <w:rPr>
          <w:rStyle w:val="FootnoteReference"/>
        </w:rPr>
        <w:footnoteReference w:id="91"/>
      </w:r>
      <w:r>
        <w:t xml:space="preserve">. </w:t>
      </w:r>
      <w:r>
        <w:rPr>
          <w:b/>
          <w:bCs/>
        </w:rPr>
        <w:t>Pgpool-II</w:t>
      </w:r>
      <w:r>
        <w:t xml:space="preserve"> jest popularnym narzędziem middleware do PostgreSQL umożliwiającym </w:t>
      </w:r>
      <w:r>
        <w:rPr>
          <w:b/>
          <w:bCs/>
        </w:rPr>
        <w:t>connection pooling</w:t>
      </w:r>
      <w:r>
        <w:t xml:space="preserve">, równoważenie obciążenia odczytów i przełączanie awaryjne (failover) w klastrach. Najnowsze wydania naprawiają szereg błędów, w tym jeden istotny </w:t>
      </w:r>
      <w:r>
        <w:rPr>
          <w:b/>
          <w:bCs/>
        </w:rPr>
        <w:t>błąd bezpieczeństwa (CVE-2025-12819)</w:t>
      </w:r>
      <w:r>
        <w:t xml:space="preserve"> dotyczący nieautoryzowanego dostępu poprzez konsolę admina Pgpool (naprawiony już w wersji 4.6.5)</w:t>
      </w:r>
      <w:r>
        <w:rPr>
          <w:rStyle w:val="FootnoteReference"/>
        </w:rPr>
        <w:footnoteReference w:id="92"/>
      </w:r>
      <w:r>
        <w:t>. Poprawiono również stabilność mechanizmów failover przed przerwą świąteczną („Fixing a bunch of bugs before Christmas”)</w:t>
      </w:r>
      <w:r>
        <w:rPr>
          <w:rStyle w:val="FootnoteReference"/>
        </w:rPr>
        <w:footnoteReference w:id="93"/>
      </w:r>
      <w:r>
        <w:t>. Użytkownicy Pgpool-II powinni zaktualizować się do najnowszych wersji, zwłaszcza jeśli korzystają ze starej gałęzi 4.3 lub 4.4.</w:t>
      </w:r>
    </w:p>
    <w:p w14:paraId="5E25B067" w14:textId="77777777" w:rsidR="00B80895" w:rsidRDefault="00675E53">
      <w:pPr>
        <w:pStyle w:val="ListParagraph"/>
        <w:numPr>
          <w:ilvl w:val="0"/>
          <w:numId w:val="7"/>
        </w:numPr>
      </w:pPr>
      <w:r>
        <w:rPr>
          <w:b/>
          <w:bCs/>
        </w:rPr>
        <w:t>Nowe rozszerzenia i funkcjonalności AI:</w:t>
      </w:r>
      <w:r>
        <w:t xml:space="preserve"> Bardzo interesującym trendem w świecie PostgreSQL jest integracja z narzędziami AI. W tym tygodniu ogłoszono </w:t>
      </w:r>
      <w:r>
        <w:rPr>
          <w:b/>
          <w:bCs/>
        </w:rPr>
        <w:t>pg_llm_helper 0.1.0</w:t>
      </w:r>
      <w:r>
        <w:t xml:space="preserve"> – zupełnie nowe </w:t>
      </w:r>
      <w:r>
        <w:rPr>
          <w:b/>
          <w:bCs/>
        </w:rPr>
        <w:t>rozszerzenie</w:t>
      </w:r>
      <w:r>
        <w:t xml:space="preserve"> umożliwiające wykorzystanie modelu językowego GPT-4 (wariant “gpt-4o-mini”) do analizy błędów i podpowiedzi w SQL</w:t>
      </w:r>
      <w:r>
        <w:rPr>
          <w:rStyle w:val="FootnoteReference"/>
        </w:rPr>
        <w:footnoteReference w:id="94"/>
      </w:r>
      <w:r>
        <w:t xml:space="preserve">. Autorzy rozszerzenia (firma ai-router) wskazują, że pozwala ono na </w:t>
      </w:r>
      <w:r>
        <w:rPr>
          <w:b/>
          <w:bCs/>
        </w:rPr>
        <w:t>diagnostykę zapytań</w:t>
      </w:r>
      <w:r>
        <w:t>: gdy zapytanie SQL zakończy się błędem, pg_llm_helper może wygenerować opis błędu i potencjalne rozwiązania przy użyciu modelu AI, bezpośrednio w środowisku bazy. Jest to część szerszego trendu “AI + baza danych”, eksperymentalnego ale prężnie rozwijającego się w społeczności PostgreSQL. Warto zaznaczyć, że rozszerzenie to korzysta z modelu OpenAI, co oznacza konieczność posiadania dostępu do API OpenAI lub uruchomienia</w:t>
      </w:r>
      <w:r>
        <w:t xml:space="preserve"> modelu lokalnie – niemniej integracja jest ciekawa z perspektywy deweloperów. W podobnym duchu, już wcześniej (23 listopada) udostępniono </w:t>
      </w:r>
      <w:r>
        <w:rPr>
          <w:b/>
          <w:bCs/>
        </w:rPr>
        <w:t>pg_ai_query v0.1.0</w:t>
      </w:r>
      <w:r>
        <w:t xml:space="preserve"> – inne rozszerzenie AI, które pozwala generować zapytania SQL z języka naturalnego i wykonywać je na bazie (tzw. </w:t>
      </w:r>
      <w:r>
        <w:rPr>
          <w:i/>
          <w:iCs/>
        </w:rPr>
        <w:t>AI-powered SQL generation</w:t>
      </w:r>
      <w:r>
        <w:t>)</w:t>
      </w:r>
      <w:r>
        <w:rPr>
          <w:rStyle w:val="FootnoteReference"/>
        </w:rPr>
        <w:footnoteReference w:id="95"/>
      </w:r>
      <w:r>
        <w:t>. pg_ai_query obsługuje wiele modeli (OpenAI GPT, lokalne modele) i konwertuje pytania użytkownika na konkretne zapytania SQL, a następnie potrafi optymalizować ich wykonanie. Wersja 0.1.0 uzyskała status “pierwszego stabilnego wydania” w połowie grudnia, co podkreśla dojrzewanie tych narzędzi.</w:t>
      </w:r>
    </w:p>
    <w:p w14:paraId="149E0994" w14:textId="77777777" w:rsidR="00B80895" w:rsidRDefault="00675E53">
      <w:pPr>
        <w:pStyle w:val="ListParagraph"/>
        <w:numPr>
          <w:ilvl w:val="0"/>
          <w:numId w:val="7"/>
        </w:numPr>
      </w:pPr>
      <w:r>
        <w:rPr>
          <w:b/>
          <w:bCs/>
        </w:rPr>
        <w:t>Integracja z Microsoft SQL Server:</w:t>
      </w:r>
      <w:r>
        <w:t xml:space="preserve"> Ciekawą nowością jest postęp w projekcie </w:t>
      </w:r>
      <w:r>
        <w:rPr>
          <w:b/>
          <w:bCs/>
        </w:rPr>
        <w:t>tds_fdw</w:t>
      </w:r>
      <w:r>
        <w:t xml:space="preserve">. Jest to </w:t>
      </w:r>
      <w:r>
        <w:rPr>
          <w:i/>
          <w:iCs/>
        </w:rPr>
        <w:t>foreign data wrapper</w:t>
      </w:r>
      <w:r>
        <w:t xml:space="preserve"> dla PostgreSQL obsługujący protokół TDS, dzięki czemu PostgreSQL może pobierać dane z zewnętrznych źródeł takich jak </w:t>
      </w:r>
      <w:r>
        <w:rPr>
          <w:b/>
          <w:bCs/>
        </w:rPr>
        <w:t>Microsoft SQL Server, Azure SQL</w:t>
      </w:r>
      <w:r>
        <w:t xml:space="preserve"> czy </w:t>
      </w:r>
      <w:r>
        <w:rPr>
          <w:b/>
          <w:bCs/>
        </w:rPr>
        <w:t>Sybase ASE</w:t>
      </w:r>
      <w:r>
        <w:t xml:space="preserve">. 19 grudnia zespół tds_fdw ogłosił, że dostępna jest wersja z </w:t>
      </w:r>
      <w:r>
        <w:rPr>
          <w:b/>
          <w:bCs/>
        </w:rPr>
        <w:t>obsługą zapisu (WRITE support) w trybie testowym</w:t>
      </w:r>
      <w:r>
        <w:rPr>
          <w:rStyle w:val="FootnoteReference"/>
        </w:rPr>
        <w:footnoteReference w:id="96"/>
      </w:r>
      <w:r>
        <w:t>. Dotychczas tds_fdw pozwalał głównie na zapytania SELECT do zdalnego SQL Servera; nowa funkcjonalność doda możliwość wykonywania operacji modyfikujących (INSERT/UPDATE/DELETE) na tabelach zdalnych z poziomu PostgreSQL, co w praktyce zaimplementowane jest poprzez odpowiednie zapytania T-SQL wysyłane do serwera MS SQL. Funkcja zapisu jest póki co eksperymentalna – twórcy proszą społeczność o testy i zgłaszanie uwag – ale jest to duży krok w kierunku lepszej współpracy między PostgreSQL a systemami Microsoftu</w:t>
      </w:r>
      <w:r>
        <w:rPr>
          <w:rStyle w:val="FootnoteReference"/>
        </w:rPr>
        <w:footnoteReference w:id="97"/>
      </w:r>
      <w:r>
        <w:t>. To szczególnie ważne dla środowisk heterogenicznych, gdzie integracja danych między różnymi silnikami staje się coraz bardziej pożądana.</w:t>
      </w:r>
    </w:p>
    <w:p w14:paraId="33838BCC" w14:textId="77777777" w:rsidR="00B80895" w:rsidRDefault="00675E53">
      <w:pPr>
        <w:pStyle w:val="ListParagraph"/>
        <w:numPr>
          <w:ilvl w:val="0"/>
          <w:numId w:val="7"/>
        </w:numPr>
      </w:pPr>
      <w:r>
        <w:rPr>
          <w:b/>
          <w:bCs/>
        </w:rPr>
        <w:t>Inne nowości i wydarzenia:</w:t>
      </w:r>
      <w:r>
        <w:t xml:space="preserve"> W społeczności PostgreSQL stale pojawiają się pomniejsze aktualności. W pierwszym tygodniu grudnia wydano np. narzędzie </w:t>
      </w:r>
      <w:r>
        <w:rPr>
          <w:b/>
          <w:bCs/>
        </w:rPr>
        <w:t>PgBouncer 1.25.1</w:t>
      </w:r>
      <w:r>
        <w:t xml:space="preserve"> (lekki proxy/pooler połączeń) z poprawką krytycznego błędu bezpieczeństwa</w:t>
      </w:r>
      <w:r>
        <w:rPr>
          <w:rStyle w:val="FootnoteReference"/>
        </w:rPr>
        <w:footnoteReference w:id="98"/>
      </w:r>
      <w:r>
        <w:t xml:space="preserve">. Ponadto ogłoszono rozpoczęcie naboru prelekcji (Call for Proposals) na konferencję </w:t>
      </w:r>
      <w:r>
        <w:rPr>
          <w:b/>
          <w:bCs/>
        </w:rPr>
        <w:t>POSETTE 2026</w:t>
      </w:r>
      <w:r>
        <w:t xml:space="preserve"> – jest to doroczna konferencja PostgreSQL organizowana w formie online przez społeczność (kolejna edycja planowana na marzec 2026)</w:t>
      </w:r>
      <w:r>
        <w:rPr>
          <w:rStyle w:val="FootnoteReference"/>
        </w:rPr>
        <w:footnoteReference w:id="99"/>
      </w:r>
      <w:r>
        <w:t xml:space="preserve">. Sam projekt PostgreSQL również docenił wkład swojej społeczności, publikując 23 grudnia listę </w:t>
      </w:r>
      <w:r>
        <w:rPr>
          <w:b/>
          <w:bCs/>
        </w:rPr>
        <w:t>nowych kontrybutorów PostgreSQL</w:t>
      </w:r>
      <w:r>
        <w:t xml:space="preserve"> za grudzień 2025 – jest to tradycja wyróżniania osób, które dołączyły do grona współtwórców kodu bazy lub dokumentacji. Takie wiadomości pokazują, że PostgreSQL pozostaje projektem silnie napędzanym przez społeczność open-source, co przekłada się na szybki rozwój rozszerzeń i narzędzi wokół bazy, nawet jeśli sam core ma przewidywalny cykl wydawniczy.</w:t>
      </w:r>
    </w:p>
    <w:p w14:paraId="43F7D5DB" w14:textId="77777777" w:rsidR="00B80895" w:rsidRDefault="00675E53">
      <w:r>
        <w:rPr>
          <w:b/>
          <w:bCs/>
        </w:rPr>
        <w:t>Podsumowanie PostgreSQL:</w:t>
      </w:r>
      <w:r>
        <w:t xml:space="preserve"> W mijającym tygodniu kluczowe dla użytkowników PostgreSQL były </w:t>
      </w:r>
      <w:r>
        <w:rPr>
          <w:b/>
          <w:bCs/>
        </w:rPr>
        <w:t>aktualizacje narzędzi i rozszerzeń</w:t>
      </w:r>
      <w:r>
        <w:t xml:space="preserve"> ułatwiających pracę z bazą. Stabilność i funkcjonalność samego silnika PostgreSQL 18.x jest wysoka – brak pilnych poprawek świadczy o dojrzałości wydania. Jednocześnie ekosystem rozszerzeń kwitnie: integracje z AI (jak pg_llm_helper) czy interoperacyjność z innymi bazami (tds_fdw) rozszerzają możliwości PostgreSQL poza tradycyjne ramy. Wszystkie przytoczone nowości pochodzą z oficjalnych źródeł (komunikaty na </w:t>
      </w:r>
      <w:r>
        <w:t>PostgreSQL.org), co gwarantuje ich wiarygodność. Można oczekiwać, że na przestrzeni kolejnych tygodni projekt PostgreSQL skupi się na przygotowaniach do następnego cyklu wydań patch (Q1 2026) oraz na dyskusjach dot. funkcji planowanych do PostgreSQL 19 (choć to odległa perspektywa, zapewne rok 2026 przyniesie pierwsze informacje o propozycjach nowych feature’ów). Na razie jednak użytkownicy PostgreSQL mogą śmiało korzystać z najnowszych dostępnych wersji narzędzi i cieszyć się stale rosnącym ekosystemem.</w:t>
      </w:r>
    </w:p>
    <w:sectPr w:rsidR="00B80895">
      <w:footerReference w:type="even" r:id="rId7"/>
      <w:footerReference w:type="default" r:id="rId8"/>
      <w:footerReference w:type="firs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D467" w14:textId="77777777" w:rsidR="00675E53" w:rsidRDefault="00675E53">
      <w:pPr>
        <w:spacing w:after="0" w:line="240" w:lineRule="auto"/>
      </w:pPr>
      <w:r>
        <w:separator/>
      </w:r>
    </w:p>
  </w:endnote>
  <w:endnote w:type="continuationSeparator" w:id="0">
    <w:p w14:paraId="77F2A31A" w14:textId="77777777" w:rsidR="00675E53" w:rsidRDefault="0067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D455" w14:textId="07D0C4D1" w:rsidR="00675E53" w:rsidRDefault="00675E53">
    <w:pPr>
      <w:pStyle w:val="Footer"/>
    </w:pPr>
    <w:r>
      <w:rPr>
        <w:noProof/>
      </w:rPr>
      <mc:AlternateContent>
        <mc:Choice Requires="wps">
          <w:drawing>
            <wp:anchor distT="0" distB="0" distL="0" distR="0" simplePos="0" relativeHeight="251659264" behindDoc="0" locked="0" layoutInCell="1" allowOverlap="1" wp14:anchorId="6F1B3534" wp14:editId="1666334E">
              <wp:simplePos x="635" y="635"/>
              <wp:positionH relativeFrom="page">
                <wp:align>center</wp:align>
              </wp:positionH>
              <wp:positionV relativeFrom="page">
                <wp:align>bottom</wp:align>
              </wp:positionV>
              <wp:extent cx="285750" cy="333375"/>
              <wp:effectExtent l="0" t="0" r="0" b="0"/>
              <wp:wrapNone/>
              <wp:docPr id="798834069"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5750" cy="333375"/>
                      </a:xfrm>
                      <a:prstGeom prst="rect">
                        <a:avLst/>
                      </a:prstGeom>
                      <a:noFill/>
                      <a:ln>
                        <a:noFill/>
                      </a:ln>
                    </wps:spPr>
                    <wps:txbx>
                      <w:txbxContent>
                        <w:p w14:paraId="31C70700" w14:textId="3B646AE9" w:rsidR="00675E53" w:rsidRPr="00675E53" w:rsidRDefault="00675E53" w:rsidP="00675E53">
                          <w:pPr>
                            <w:spacing w:after="0"/>
                            <w:rPr>
                              <w:rFonts w:ascii="Aptos" w:eastAsia="Aptos" w:hAnsi="Aptos" w:cs="Aptos"/>
                              <w:noProof/>
                              <w:color w:val="000000"/>
                              <w:sz w:val="16"/>
                              <w:szCs w:val="16"/>
                            </w:rPr>
                          </w:pPr>
                          <w:r w:rsidRPr="00675E53">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B3534" id="_x0000_t202" coordsize="21600,21600" o:spt="202" path="m,l,21600r21600,l21600,xe">
              <v:stroke joinstyle="miter"/>
              <v:path gradientshapeok="t" o:connecttype="rect"/>
            </v:shapetype>
            <v:shape id="Text Box 2" o:spid="_x0000_s1026" type="#_x0000_t202" alt="Public" style="position:absolute;margin-left:0;margin-top:0;width:22.5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" filled="f" stroked="f">
              <v:fill o:detectmouseclick="t"/>
              <v:textbox style="mso-fit-shape-to-text:t" inset="0,0,0,15pt">
                <w:txbxContent>
                  <w:p w14:paraId="31C70700" w14:textId="3B646AE9" w:rsidR="00675E53" w:rsidRPr="00675E53" w:rsidRDefault="00675E53" w:rsidP="00675E53">
                    <w:pPr>
                      <w:spacing w:after="0"/>
                      <w:rPr>
                        <w:rFonts w:ascii="Aptos" w:eastAsia="Aptos" w:hAnsi="Aptos" w:cs="Aptos"/>
                        <w:noProof/>
                        <w:color w:val="000000"/>
                        <w:sz w:val="16"/>
                        <w:szCs w:val="16"/>
                      </w:rPr>
                    </w:pPr>
                    <w:r w:rsidRPr="00675E53">
                      <w:rPr>
                        <w:rFonts w:ascii="Aptos" w:eastAsia="Aptos" w:hAnsi="Aptos" w:cs="Aptos"/>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B7C" w14:textId="2A458C3A" w:rsidR="00675E53" w:rsidRDefault="00675E53">
    <w:pPr>
      <w:pStyle w:val="Footer"/>
    </w:pPr>
    <w:r>
      <w:rPr>
        <w:noProof/>
      </w:rPr>
      <mc:AlternateContent>
        <mc:Choice Requires="wps">
          <w:drawing>
            <wp:anchor distT="0" distB="0" distL="0" distR="0" simplePos="0" relativeHeight="251660288" behindDoc="0" locked="0" layoutInCell="1" allowOverlap="1" wp14:anchorId="4921481D" wp14:editId="780BEC29">
              <wp:simplePos x="635" y="635"/>
              <wp:positionH relativeFrom="page">
                <wp:align>center</wp:align>
              </wp:positionH>
              <wp:positionV relativeFrom="page">
                <wp:align>bottom</wp:align>
              </wp:positionV>
              <wp:extent cx="285750" cy="333375"/>
              <wp:effectExtent l="0" t="0" r="0" b="0"/>
              <wp:wrapNone/>
              <wp:docPr id="1585935922"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5750" cy="333375"/>
                      </a:xfrm>
                      <a:prstGeom prst="rect">
                        <a:avLst/>
                      </a:prstGeom>
                      <a:noFill/>
                      <a:ln>
                        <a:noFill/>
                      </a:ln>
                    </wps:spPr>
                    <wps:txbx>
                      <w:txbxContent>
                        <w:p w14:paraId="4EC082D0" w14:textId="4A674D43" w:rsidR="00675E53" w:rsidRPr="00675E53" w:rsidRDefault="00675E53" w:rsidP="00675E53">
                          <w:pPr>
                            <w:spacing w:after="0"/>
                            <w:rPr>
                              <w:rFonts w:ascii="Aptos" w:eastAsia="Aptos" w:hAnsi="Aptos" w:cs="Aptos"/>
                              <w:noProof/>
                              <w:color w:val="000000"/>
                              <w:sz w:val="16"/>
                              <w:szCs w:val="16"/>
                            </w:rPr>
                          </w:pPr>
                          <w:r w:rsidRPr="00675E53">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1481D" id="_x0000_t202" coordsize="21600,21600" o:spt="202" path="m,l,21600r21600,l21600,xe">
              <v:stroke joinstyle="miter"/>
              <v:path gradientshapeok="t" o:connecttype="rect"/>
            </v:shapetype>
            <v:shape id="Text Box 3" o:spid="_x0000_s1027" type="#_x0000_t202" alt="Public" style="position:absolute;margin-left:0;margin-top:0;width:22.5pt;height:2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" filled="f" stroked="f">
              <v:fill o:detectmouseclick="t"/>
              <v:textbox style="mso-fit-shape-to-text:t" inset="0,0,0,15pt">
                <w:txbxContent>
                  <w:p w14:paraId="4EC082D0" w14:textId="4A674D43" w:rsidR="00675E53" w:rsidRPr="00675E53" w:rsidRDefault="00675E53" w:rsidP="00675E53">
                    <w:pPr>
                      <w:spacing w:after="0"/>
                      <w:rPr>
                        <w:rFonts w:ascii="Aptos" w:eastAsia="Aptos" w:hAnsi="Aptos" w:cs="Aptos"/>
                        <w:noProof/>
                        <w:color w:val="000000"/>
                        <w:sz w:val="16"/>
                        <w:szCs w:val="16"/>
                      </w:rPr>
                    </w:pPr>
                    <w:r w:rsidRPr="00675E53">
                      <w:rPr>
                        <w:rFonts w:ascii="Aptos" w:eastAsia="Aptos" w:hAnsi="Aptos" w:cs="Aptos"/>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3C73" w14:textId="29DAED7D" w:rsidR="00675E53" w:rsidRDefault="00675E53">
    <w:pPr>
      <w:pStyle w:val="Footer"/>
    </w:pPr>
    <w:r>
      <w:rPr>
        <w:noProof/>
      </w:rPr>
      <mc:AlternateContent>
        <mc:Choice Requires="wps">
          <w:drawing>
            <wp:anchor distT="0" distB="0" distL="0" distR="0" simplePos="0" relativeHeight="251658240" behindDoc="0" locked="0" layoutInCell="1" allowOverlap="1" wp14:anchorId="4ED59BD1" wp14:editId="50A76529">
              <wp:simplePos x="635" y="635"/>
              <wp:positionH relativeFrom="page">
                <wp:align>center</wp:align>
              </wp:positionH>
              <wp:positionV relativeFrom="page">
                <wp:align>bottom</wp:align>
              </wp:positionV>
              <wp:extent cx="285750" cy="333375"/>
              <wp:effectExtent l="0" t="0" r="0" b="0"/>
              <wp:wrapNone/>
              <wp:docPr id="213166886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5750" cy="333375"/>
                      </a:xfrm>
                      <a:prstGeom prst="rect">
                        <a:avLst/>
                      </a:prstGeom>
                      <a:noFill/>
                      <a:ln>
                        <a:noFill/>
                      </a:ln>
                    </wps:spPr>
                    <wps:txbx>
                      <w:txbxContent>
                        <w:p w14:paraId="43E6910B" w14:textId="7F573C0B" w:rsidR="00675E53" w:rsidRPr="00675E53" w:rsidRDefault="00675E53" w:rsidP="00675E53">
                          <w:pPr>
                            <w:spacing w:after="0"/>
                            <w:rPr>
                              <w:rFonts w:ascii="Aptos" w:eastAsia="Aptos" w:hAnsi="Aptos" w:cs="Aptos"/>
                              <w:noProof/>
                              <w:color w:val="000000"/>
                              <w:sz w:val="16"/>
                              <w:szCs w:val="16"/>
                            </w:rPr>
                          </w:pPr>
                          <w:r w:rsidRPr="00675E53">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59BD1" id="_x0000_t202" coordsize="21600,21600" o:spt="202" path="m,l,21600r21600,l21600,xe">
              <v:stroke joinstyle="miter"/>
              <v:path gradientshapeok="t" o:connecttype="rect"/>
            </v:shapetype>
            <v:shape id="Text Box 1" o:spid="_x0000_s1028" type="#_x0000_t202" alt="Public" style="position:absolute;margin-left:0;margin-top:0;width:22.5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" filled="f" stroked="f">
              <v:fill o:detectmouseclick="t"/>
              <v:textbox style="mso-fit-shape-to-text:t" inset="0,0,0,15pt">
                <w:txbxContent>
                  <w:p w14:paraId="43E6910B" w14:textId="7F573C0B" w:rsidR="00675E53" w:rsidRPr="00675E53" w:rsidRDefault="00675E53" w:rsidP="00675E53">
                    <w:pPr>
                      <w:spacing w:after="0"/>
                      <w:rPr>
                        <w:rFonts w:ascii="Aptos" w:eastAsia="Aptos" w:hAnsi="Aptos" w:cs="Aptos"/>
                        <w:noProof/>
                        <w:color w:val="000000"/>
                        <w:sz w:val="16"/>
                        <w:szCs w:val="16"/>
                      </w:rPr>
                    </w:pPr>
                    <w:r w:rsidRPr="00675E53">
                      <w:rPr>
                        <w:rFonts w:ascii="Aptos" w:eastAsia="Aptos" w:hAnsi="Aptos" w:cs="Aptos"/>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616A" w14:textId="77777777" w:rsidR="00675E53" w:rsidRDefault="00675E53">
      <w:pPr>
        <w:spacing w:after="0" w:line="240" w:lineRule="auto"/>
      </w:pPr>
      <w:r>
        <w:separator/>
      </w:r>
    </w:p>
  </w:footnote>
  <w:footnote w:type="continuationSeparator" w:id="0">
    <w:p w14:paraId="63B88ADF" w14:textId="77777777" w:rsidR="00675E53" w:rsidRDefault="00675E53">
      <w:pPr>
        <w:spacing w:after="0" w:line="240" w:lineRule="auto"/>
      </w:pPr>
      <w:r>
        <w:continuationSeparator/>
      </w:r>
    </w:p>
  </w:footnote>
  <w:footnote w:id="1">
    <w:p w14:paraId="44937748" w14:textId="77777777" w:rsidR="00B80895" w:rsidRDefault="00675E53">
      <w:r>
        <w:rPr>
          <w:rStyle w:val="FootnoteReference"/>
        </w:rPr>
        <w:footnoteRef/>
      </w:r>
      <w:hyperlink r:id="rId1" w:history="1">
        <w:r>
          <w:rPr>
            <w:rStyle w:val="Hyperlink"/>
          </w:rPr>
          <w:t>https://www.oracle.com/news/</w:t>
        </w:r>
      </w:hyperlink>
    </w:p>
  </w:footnote>
  <w:footnote w:id="2">
    <w:p w14:paraId="04C33A3B" w14:textId="77777777" w:rsidR="00B80895" w:rsidRDefault="00675E53">
      <w:r>
        <w:rPr>
          <w:rStyle w:val="FootnoteReference"/>
        </w:rPr>
        <w:footnoteRef/>
      </w:r>
      <w:hyperlink r:id="rId2" w:history="1">
        <w:r>
          <w:rPr>
            <w:rStyle w:val="Hyperlink"/>
          </w:rPr>
          <w:t>https://www.oracle.com/news/</w:t>
        </w:r>
      </w:hyperlink>
    </w:p>
  </w:footnote>
  <w:footnote w:id="3">
    <w:p w14:paraId="758670E4" w14:textId="77777777" w:rsidR="00B80895" w:rsidRDefault="00675E53">
      <w:r>
        <w:rPr>
          <w:rStyle w:val="FootnoteReference"/>
        </w:rPr>
        <w:footnoteRef/>
      </w:r>
      <w:hyperlink r:id="rId3" w:history="1">
        <w:r>
          <w:rPr>
            <w:rStyle w:val="Hyperlink"/>
          </w:rPr>
          <w:t>https://blogs.oracle.com/coretec/oracle-database-monthly-news-december-2025-quick-links</w:t>
        </w:r>
      </w:hyperlink>
    </w:p>
  </w:footnote>
  <w:footnote w:id="4">
    <w:p w14:paraId="55C7E3A3" w14:textId="77777777" w:rsidR="00B80895" w:rsidRDefault="00675E53">
      <w:r>
        <w:rPr>
          <w:rStyle w:val="FootnoteReference"/>
        </w:rPr>
        <w:footnoteRef/>
      </w:r>
      <w:hyperlink r:id="rId4" w:history="1">
        <w:r>
          <w:rPr>
            <w:rStyle w:val="Hyperlink"/>
          </w:rPr>
          <w:t>https://blogs.oracle.com/coretec/oracle-database-monthly-news-december-2025-quick-links</w:t>
        </w:r>
      </w:hyperlink>
    </w:p>
  </w:footnote>
  <w:footnote w:id="5">
    <w:p w14:paraId="0285CAB5" w14:textId="77777777" w:rsidR="00B80895" w:rsidRDefault="00675E53">
      <w:r>
        <w:rPr>
          <w:rStyle w:val="FootnoteReference"/>
        </w:rPr>
        <w:footnoteRef/>
      </w:r>
      <w:hyperlink r:id="rId5" w:history="1">
        <w:r>
          <w:rPr>
            <w:rStyle w:val="Hyperlink"/>
          </w:rPr>
          <w:t>https://blogs.oracle.com/coretec/oracle-database-monthly-news-december-2025-quick-links</w:t>
        </w:r>
      </w:hyperlink>
    </w:p>
  </w:footnote>
  <w:footnote w:id="6">
    <w:p w14:paraId="65750D11" w14:textId="77777777" w:rsidR="00B80895" w:rsidRDefault="00675E53">
      <w:r>
        <w:rPr>
          <w:rStyle w:val="FootnoteReference"/>
        </w:rPr>
        <w:footnoteRef/>
      </w:r>
      <w:hyperlink r:id="rId6" w:history="1">
        <w:r>
          <w:rPr>
            <w:rStyle w:val="Hyperlink"/>
          </w:rPr>
          <w:t>https://techcommunity.microsoft.com/blog/sqlserver/sql-server-2025-is-now-generally-available/4470570</w:t>
        </w:r>
      </w:hyperlink>
    </w:p>
  </w:footnote>
  <w:footnote w:id="7">
    <w:p w14:paraId="5E155BFD" w14:textId="77777777" w:rsidR="00B80895" w:rsidRDefault="00675E53">
      <w:r>
        <w:rPr>
          <w:rStyle w:val="FootnoteReference"/>
        </w:rPr>
        <w:footnoteRef/>
      </w:r>
      <w:hyperlink r:id="rId7" w:history="1">
        <w:r>
          <w:rPr>
            <w:rStyle w:val="Hyperlink"/>
          </w:rPr>
          <w:t>https://techcommunity.microsoft.com/t5/s/gxcuf89792/rss/board?board.id=SQLServer</w:t>
        </w:r>
      </w:hyperlink>
    </w:p>
  </w:footnote>
  <w:footnote w:id="8">
    <w:p w14:paraId="76D45C1E" w14:textId="77777777" w:rsidR="00B80895" w:rsidRDefault="00675E53">
      <w:r>
        <w:rPr>
          <w:rStyle w:val="FootnoteReference"/>
        </w:rPr>
        <w:footnoteRef/>
      </w:r>
      <w:hyperlink r:id="rId8" w:history="1">
        <w:r>
          <w:rPr>
            <w:rStyle w:val="Hyperlink"/>
          </w:rPr>
          <w:t>https://techcommunity.microsoft.com/t5/s/gxcuf89792/rss/board?board.id=SQLServer</w:t>
        </w:r>
      </w:hyperlink>
    </w:p>
  </w:footnote>
  <w:footnote w:id="9">
    <w:p w14:paraId="5453BC77" w14:textId="77777777" w:rsidR="00B80895" w:rsidRDefault="00675E53">
      <w:r>
        <w:rPr>
          <w:rStyle w:val="FootnoteReference"/>
        </w:rPr>
        <w:footnoteRef/>
      </w:r>
      <w:hyperlink r:id="rId9" w:history="1">
        <w:r>
          <w:rPr>
            <w:rStyle w:val="Hyperlink"/>
          </w:rPr>
          <w:t>https://techcommunity.microsoft.com/blog/sqlserver/sql-server-2025-is-now-generally-available/4470570</w:t>
        </w:r>
      </w:hyperlink>
    </w:p>
  </w:footnote>
  <w:footnote w:id="10">
    <w:p w14:paraId="6F456DA3" w14:textId="77777777" w:rsidR="00B80895" w:rsidRDefault="00675E53">
      <w:r>
        <w:rPr>
          <w:rStyle w:val="FootnoteReference"/>
        </w:rPr>
        <w:footnoteRef/>
      </w:r>
      <w:hyperlink r:id="rId10" w:history="1">
        <w:r>
          <w:rPr>
            <w:rStyle w:val="Hyperlink"/>
          </w:rPr>
          <w:t>https://techcommunity.microsoft.com/blog/sqlserver/sql-server-2025-is-now-generally-available/4470570</w:t>
        </w:r>
      </w:hyperlink>
    </w:p>
  </w:footnote>
  <w:footnote w:id="11">
    <w:p w14:paraId="05C75D8B" w14:textId="77777777" w:rsidR="00B80895" w:rsidRDefault="00675E53">
      <w:r>
        <w:rPr>
          <w:rStyle w:val="FootnoteReference"/>
        </w:rPr>
        <w:footnoteRef/>
      </w:r>
      <w:hyperlink r:id="rId11" w:history="1">
        <w:r>
          <w:rPr>
            <w:rStyle w:val="Hyperlink"/>
          </w:rPr>
          <w:t>https://docs.oracle.com/en-us/iaas/mysql-database/doc/mysql-server-versions.html</w:t>
        </w:r>
      </w:hyperlink>
    </w:p>
  </w:footnote>
  <w:footnote w:id="12">
    <w:p w14:paraId="1AFBDC1D" w14:textId="77777777" w:rsidR="00B80895" w:rsidRDefault="00675E53">
      <w:r>
        <w:rPr>
          <w:rStyle w:val="FootnoteReference"/>
        </w:rPr>
        <w:footnoteRef/>
      </w:r>
      <w:hyperlink r:id="rId12" w:history="1">
        <w:r>
          <w:rPr>
            <w:rStyle w:val="Hyperlink"/>
          </w:rPr>
          <w:t>https://blogs.oracle.com/mysql/celebrating-30-years-of-mysql-a-global-recap-of-events-in-2025</w:t>
        </w:r>
      </w:hyperlink>
    </w:p>
  </w:footnote>
  <w:footnote w:id="13">
    <w:p w14:paraId="11E8CEE7" w14:textId="77777777" w:rsidR="00B80895" w:rsidRDefault="00675E53">
      <w:r>
        <w:rPr>
          <w:rStyle w:val="FootnoteReference"/>
        </w:rPr>
        <w:footnoteRef/>
      </w:r>
      <w:hyperlink r:id="rId13" w:history="1">
        <w:r>
          <w:rPr>
            <w:rStyle w:val="Hyperlink"/>
          </w:rPr>
          <w:t>https://docs.oracle.com/en-us/iaas/mysql-database/doc/mysql-server-versions.html</w:t>
        </w:r>
      </w:hyperlink>
    </w:p>
  </w:footnote>
  <w:footnote w:id="14">
    <w:p w14:paraId="68C6484F" w14:textId="77777777" w:rsidR="00B80895" w:rsidRDefault="00675E53">
      <w:r>
        <w:rPr>
          <w:rStyle w:val="FootnoteReference"/>
        </w:rPr>
        <w:footnoteRef/>
      </w:r>
      <w:hyperlink r:id="rId14" w:history="1">
        <w:r>
          <w:rPr>
            <w:rStyle w:val="Hyperlink"/>
          </w:rPr>
          <w:t>https://mariadb.com/resources/blog/mariadb-enterprise-server-q4-2025-maintenance-releases-with-backported-features/</w:t>
        </w:r>
      </w:hyperlink>
    </w:p>
  </w:footnote>
  <w:footnote w:id="15">
    <w:p w14:paraId="6A5F0ACC" w14:textId="77777777" w:rsidR="00B80895" w:rsidRDefault="00675E53">
      <w:r>
        <w:rPr>
          <w:rStyle w:val="FootnoteReference"/>
        </w:rPr>
        <w:footnoteRef/>
      </w:r>
      <w:hyperlink r:id="rId15" w:history="1">
        <w:r>
          <w:rPr>
            <w:rStyle w:val="Hyperlink"/>
          </w:rPr>
          <w:t>https://mariadb.com/resources/blog/mariadb-enterprise-server-q4-2025-maintenance-releases-with-backported-features/</w:t>
        </w:r>
      </w:hyperlink>
    </w:p>
  </w:footnote>
  <w:footnote w:id="16">
    <w:p w14:paraId="3B4BAC70" w14:textId="77777777" w:rsidR="00B80895" w:rsidRDefault="00675E53">
      <w:r>
        <w:rPr>
          <w:rStyle w:val="FootnoteReference"/>
        </w:rPr>
        <w:footnoteRef/>
      </w:r>
      <w:hyperlink r:id="rId16" w:history="1">
        <w:r>
          <w:rPr>
            <w:rStyle w:val="Hyperlink"/>
          </w:rPr>
          <w:t>https://mariadb.com/resources/blog/mariadb-enterprise-server-q4-2025-maintenance-releases-with-backported-features/</w:t>
        </w:r>
      </w:hyperlink>
    </w:p>
  </w:footnote>
  <w:footnote w:id="17">
    <w:p w14:paraId="4DC54AB6" w14:textId="77777777" w:rsidR="00B80895" w:rsidRDefault="00675E53">
      <w:r>
        <w:rPr>
          <w:rStyle w:val="FootnoteReference"/>
        </w:rPr>
        <w:footnoteRef/>
      </w:r>
      <w:hyperlink r:id="rId17" w:history="1">
        <w:r>
          <w:rPr>
            <w:rStyle w:val="Hyperlink"/>
          </w:rPr>
          <w:t>https://mariadb.com/resources/blog/mariadb-enterprise-server-q4-2025-maintenance-releases-with-backported-features/</w:t>
        </w:r>
      </w:hyperlink>
    </w:p>
  </w:footnote>
  <w:footnote w:id="18">
    <w:p w14:paraId="32D599A6" w14:textId="77777777" w:rsidR="00B80895" w:rsidRDefault="00675E53">
      <w:r>
        <w:rPr>
          <w:rStyle w:val="FootnoteReference"/>
        </w:rPr>
        <w:footnoteRef/>
      </w:r>
      <w:hyperlink r:id="rId18" w:history="1">
        <w:r>
          <w:rPr>
            <w:rStyle w:val="Hyperlink"/>
          </w:rPr>
          <w:t>https://mariadb.com/resources/blog/mariadb-enterprise-server-q4-2025-maintenance-releases-with-backported-features/</w:t>
        </w:r>
      </w:hyperlink>
    </w:p>
  </w:footnote>
  <w:footnote w:id="19">
    <w:p w14:paraId="0A21FD3A" w14:textId="77777777" w:rsidR="00B80895" w:rsidRDefault="00675E53">
      <w:r>
        <w:rPr>
          <w:rStyle w:val="FootnoteReference"/>
        </w:rPr>
        <w:footnoteRef/>
      </w:r>
      <w:hyperlink r:id="rId19" w:history="1">
        <w:r>
          <w:rPr>
            <w:rStyle w:val="Hyperlink"/>
          </w:rPr>
          <w:t>https://mariadb.com/resources/blog/mariadb-enterprise-server-q4-2025-maintenance-releases-with-backported-features/</w:t>
        </w:r>
      </w:hyperlink>
    </w:p>
  </w:footnote>
  <w:footnote w:id="20">
    <w:p w14:paraId="748FCE6F" w14:textId="77777777" w:rsidR="00B80895" w:rsidRDefault="00675E53">
      <w:r>
        <w:rPr>
          <w:rStyle w:val="FootnoteReference"/>
        </w:rPr>
        <w:footnoteRef/>
      </w:r>
      <w:hyperlink r:id="rId20" w:history="1">
        <w:r>
          <w:rPr>
            <w:rStyle w:val="Hyperlink"/>
          </w:rPr>
          <w:t>https://mariadb.com/resources/blog/mariadb-enterprise-server-q4-2025-maintenance-releases-with-backported-features/</w:t>
        </w:r>
      </w:hyperlink>
    </w:p>
  </w:footnote>
  <w:footnote w:id="21">
    <w:p w14:paraId="3C5AF8E7" w14:textId="77777777" w:rsidR="00B80895" w:rsidRDefault="00675E53">
      <w:r>
        <w:rPr>
          <w:rStyle w:val="FootnoteReference"/>
        </w:rPr>
        <w:footnoteRef/>
      </w:r>
      <w:hyperlink r:id="rId21" w:history="1">
        <w:r>
          <w:rPr>
            <w:rStyle w:val="Hyperlink"/>
          </w:rPr>
          <w:t>https://www.postgresql.org/about/newsarchive/</w:t>
        </w:r>
      </w:hyperlink>
    </w:p>
  </w:footnote>
  <w:footnote w:id="22">
    <w:p w14:paraId="3E517F8E" w14:textId="77777777" w:rsidR="00B80895" w:rsidRDefault="00675E53">
      <w:r>
        <w:rPr>
          <w:rStyle w:val="FootnoteReference"/>
        </w:rPr>
        <w:footnoteRef/>
      </w:r>
      <w:hyperlink r:id="rId22" w:history="1">
        <w:r>
          <w:rPr>
            <w:rStyle w:val="Hyperlink"/>
          </w:rPr>
          <w:t>https://www.postgresql.org/about/newsarchive/</w:t>
        </w:r>
      </w:hyperlink>
    </w:p>
  </w:footnote>
  <w:footnote w:id="23">
    <w:p w14:paraId="24976E4D" w14:textId="77777777" w:rsidR="00B80895" w:rsidRDefault="00675E53">
      <w:r>
        <w:rPr>
          <w:rStyle w:val="FootnoteReference"/>
        </w:rPr>
        <w:footnoteRef/>
      </w:r>
      <w:hyperlink r:id="rId23" w:history="1">
        <w:r>
          <w:rPr>
            <w:rStyle w:val="Hyperlink"/>
          </w:rPr>
          <w:t>https://www.postgresql.org/about/newsarchive/</w:t>
        </w:r>
      </w:hyperlink>
    </w:p>
  </w:footnote>
  <w:footnote w:id="24">
    <w:p w14:paraId="0D668FD7" w14:textId="77777777" w:rsidR="00B80895" w:rsidRDefault="00675E53">
      <w:r>
        <w:rPr>
          <w:rStyle w:val="FootnoteReference"/>
        </w:rPr>
        <w:footnoteRef/>
      </w:r>
      <w:hyperlink r:id="rId24" w:history="1">
        <w:r>
          <w:rPr>
            <w:rStyle w:val="Hyperlink"/>
          </w:rPr>
          <w:t>https://www.postgresql.org/about/newsarchive/</w:t>
        </w:r>
      </w:hyperlink>
    </w:p>
  </w:footnote>
  <w:footnote w:id="25">
    <w:p w14:paraId="3479EDE4" w14:textId="77777777" w:rsidR="00B80895" w:rsidRDefault="00675E53">
      <w:r>
        <w:rPr>
          <w:rStyle w:val="FootnoteReference"/>
        </w:rPr>
        <w:footnoteRef/>
      </w:r>
      <w:hyperlink r:id="rId25" w:history="1">
        <w:r>
          <w:rPr>
            <w:rStyle w:val="Hyperlink"/>
          </w:rPr>
          <w:t>https://www.oracle.com/news/</w:t>
        </w:r>
      </w:hyperlink>
    </w:p>
  </w:footnote>
  <w:footnote w:id="26">
    <w:p w14:paraId="24B3CEDF" w14:textId="77777777" w:rsidR="00B80895" w:rsidRDefault="00675E53">
      <w:r>
        <w:rPr>
          <w:rStyle w:val="FootnoteReference"/>
        </w:rPr>
        <w:footnoteRef/>
      </w:r>
      <w:hyperlink r:id="rId26" w:history="1">
        <w:r>
          <w:rPr>
            <w:rStyle w:val="Hyperlink"/>
          </w:rPr>
          <w:t>https://www.oracle.com/news/</w:t>
        </w:r>
      </w:hyperlink>
    </w:p>
  </w:footnote>
  <w:footnote w:id="27">
    <w:p w14:paraId="78743B84" w14:textId="77777777" w:rsidR="00B80895" w:rsidRDefault="00675E53">
      <w:r>
        <w:rPr>
          <w:rStyle w:val="FootnoteReference"/>
        </w:rPr>
        <w:footnoteRef/>
      </w:r>
      <w:hyperlink r:id="rId27" w:history="1">
        <w:r>
          <w:rPr>
            <w:rStyle w:val="Hyperlink"/>
          </w:rPr>
          <w:t>https://www.oracle.com/news/</w:t>
        </w:r>
      </w:hyperlink>
    </w:p>
  </w:footnote>
  <w:footnote w:id="28">
    <w:p w14:paraId="75E57BCE" w14:textId="77777777" w:rsidR="00B80895" w:rsidRDefault="00675E53">
      <w:r>
        <w:rPr>
          <w:rStyle w:val="FootnoteReference"/>
        </w:rPr>
        <w:footnoteRef/>
      </w:r>
      <w:hyperlink r:id="rId28" w:history="1">
        <w:r>
          <w:rPr>
            <w:rStyle w:val="Hyperlink"/>
          </w:rPr>
          <w:t>https://blogs.oracle.com/coretec/oracle-database-monthly-news-december-2025-quick-links</w:t>
        </w:r>
      </w:hyperlink>
    </w:p>
  </w:footnote>
  <w:footnote w:id="29">
    <w:p w14:paraId="17CF5540" w14:textId="77777777" w:rsidR="00B80895" w:rsidRDefault="00675E53">
      <w:r>
        <w:rPr>
          <w:rStyle w:val="FootnoteReference"/>
        </w:rPr>
        <w:footnoteRef/>
      </w:r>
      <w:hyperlink r:id="rId29" w:history="1">
        <w:r>
          <w:rPr>
            <w:rStyle w:val="Hyperlink"/>
          </w:rPr>
          <w:t>https://blogs.oracle.com/coretec/oracle-database-monthly-news-december-2025-quick-links</w:t>
        </w:r>
      </w:hyperlink>
    </w:p>
  </w:footnote>
  <w:footnote w:id="30">
    <w:p w14:paraId="1B582F1C" w14:textId="77777777" w:rsidR="00B80895" w:rsidRDefault="00675E53">
      <w:r>
        <w:rPr>
          <w:rStyle w:val="FootnoteReference"/>
        </w:rPr>
        <w:footnoteRef/>
      </w:r>
      <w:hyperlink r:id="rId30" w:history="1">
        <w:r>
          <w:rPr>
            <w:rStyle w:val="Hyperlink"/>
          </w:rPr>
          <w:t>https://blogs.oracle.com/coretec/oracle-database-monthly-news-december-2025-quick-links</w:t>
        </w:r>
      </w:hyperlink>
    </w:p>
  </w:footnote>
  <w:footnote w:id="31">
    <w:p w14:paraId="2A2F6428" w14:textId="77777777" w:rsidR="00B80895" w:rsidRDefault="00675E53">
      <w:r>
        <w:rPr>
          <w:rStyle w:val="FootnoteReference"/>
        </w:rPr>
        <w:footnoteRef/>
      </w:r>
      <w:hyperlink r:id="rId31" w:history="1">
        <w:r>
          <w:rPr>
            <w:rStyle w:val="Hyperlink"/>
          </w:rPr>
          <w:t>https://blogs.oracle.com/coretec/oracle-database-monthly-news-december-2025-quick-links</w:t>
        </w:r>
      </w:hyperlink>
    </w:p>
  </w:footnote>
  <w:footnote w:id="32">
    <w:p w14:paraId="1DD78D1F" w14:textId="77777777" w:rsidR="00B80895" w:rsidRDefault="00675E53">
      <w:r>
        <w:rPr>
          <w:rStyle w:val="FootnoteReference"/>
        </w:rPr>
        <w:footnoteRef/>
      </w:r>
      <w:hyperlink r:id="rId32" w:history="1">
        <w:r>
          <w:rPr>
            <w:rStyle w:val="Hyperlink"/>
          </w:rPr>
          <w:t>https://blogs.oracle.com/coretec/oracle-database-monthly-news-december-2025-quick-links</w:t>
        </w:r>
      </w:hyperlink>
    </w:p>
  </w:footnote>
  <w:footnote w:id="33">
    <w:p w14:paraId="595C823F" w14:textId="77777777" w:rsidR="00B80895" w:rsidRDefault="00675E53">
      <w:r>
        <w:rPr>
          <w:rStyle w:val="FootnoteReference"/>
        </w:rPr>
        <w:footnoteRef/>
      </w:r>
      <w:hyperlink r:id="rId33" w:history="1">
        <w:r>
          <w:rPr>
            <w:rStyle w:val="Hyperlink"/>
          </w:rPr>
          <w:t>https://blogs.oracle.com/coretec/oracle-database-monthly-news-december-2025-quick-links</w:t>
        </w:r>
      </w:hyperlink>
    </w:p>
  </w:footnote>
  <w:footnote w:id="34">
    <w:p w14:paraId="4F4A9D47" w14:textId="77777777" w:rsidR="00B80895" w:rsidRDefault="00675E53">
      <w:r>
        <w:rPr>
          <w:rStyle w:val="FootnoteReference"/>
        </w:rPr>
        <w:footnoteRef/>
      </w:r>
      <w:hyperlink r:id="rId34" w:history="1">
        <w:r>
          <w:rPr>
            <w:rStyle w:val="Hyperlink"/>
          </w:rPr>
          <w:t>https://blogs.oracle.com/coretec/oracle-database-monthly-news-december-2025-quick-links</w:t>
        </w:r>
      </w:hyperlink>
    </w:p>
  </w:footnote>
  <w:footnote w:id="35">
    <w:p w14:paraId="26CC7668" w14:textId="77777777" w:rsidR="00B80895" w:rsidRDefault="00675E53">
      <w:r>
        <w:rPr>
          <w:rStyle w:val="FootnoteReference"/>
        </w:rPr>
        <w:footnoteRef/>
      </w:r>
      <w:hyperlink r:id="rId35" w:history="1">
        <w:r>
          <w:rPr>
            <w:rStyle w:val="Hyperlink"/>
          </w:rPr>
          <w:t>https://blogs.oracle.com/coretec/oracle-database-monthly-news-december-2025-quick-links</w:t>
        </w:r>
      </w:hyperlink>
    </w:p>
  </w:footnote>
  <w:footnote w:id="36">
    <w:p w14:paraId="793730CF" w14:textId="77777777" w:rsidR="00B80895" w:rsidRDefault="00675E53">
      <w:r>
        <w:rPr>
          <w:rStyle w:val="FootnoteReference"/>
        </w:rPr>
        <w:footnoteRef/>
      </w:r>
      <w:hyperlink r:id="rId36" w:history="1">
        <w:r>
          <w:rPr>
            <w:rStyle w:val="Hyperlink"/>
          </w:rPr>
          <w:t>https://blogs.oracle.com/coretec/oracle-database-monthly-news-december-2025-quick-links</w:t>
        </w:r>
      </w:hyperlink>
    </w:p>
  </w:footnote>
  <w:footnote w:id="37">
    <w:p w14:paraId="2109826D" w14:textId="77777777" w:rsidR="00B80895" w:rsidRDefault="00675E53">
      <w:r>
        <w:rPr>
          <w:rStyle w:val="FootnoteReference"/>
        </w:rPr>
        <w:footnoteRef/>
      </w:r>
      <w:hyperlink r:id="rId37" w:history="1">
        <w:r>
          <w:rPr>
            <w:rStyle w:val="Hyperlink"/>
          </w:rPr>
          <w:t>https://www.oracle.com/news/</w:t>
        </w:r>
      </w:hyperlink>
    </w:p>
  </w:footnote>
  <w:footnote w:id="38">
    <w:p w14:paraId="3A8F42F6" w14:textId="77777777" w:rsidR="00B80895" w:rsidRDefault="00675E53">
      <w:r>
        <w:rPr>
          <w:rStyle w:val="FootnoteReference"/>
        </w:rPr>
        <w:footnoteRef/>
      </w:r>
      <w:hyperlink r:id="rId38" w:history="1">
        <w:r>
          <w:rPr>
            <w:rStyle w:val="Hyperlink"/>
          </w:rPr>
          <w:t>https://www.oracle.com/news/</w:t>
        </w:r>
      </w:hyperlink>
    </w:p>
  </w:footnote>
  <w:footnote w:id="39">
    <w:p w14:paraId="2F12B4B5" w14:textId="77777777" w:rsidR="00B80895" w:rsidRDefault="00675E53">
      <w:r>
        <w:rPr>
          <w:rStyle w:val="FootnoteReference"/>
        </w:rPr>
        <w:footnoteRef/>
      </w:r>
      <w:hyperlink r:id="rId39" w:history="1">
        <w:r>
          <w:rPr>
            <w:rStyle w:val="Hyperlink"/>
          </w:rPr>
          <w:t>https://techcommunity.microsoft.com/blog/azuresqlblog/2025-year-in-review-what%E2%80%99s-new-across-sql-server-azure-sql-and-sql-database-in-f/4477514</w:t>
        </w:r>
      </w:hyperlink>
    </w:p>
  </w:footnote>
  <w:footnote w:id="40">
    <w:p w14:paraId="1222D74A" w14:textId="77777777" w:rsidR="00B80895" w:rsidRDefault="00675E53">
      <w:r>
        <w:rPr>
          <w:rStyle w:val="FootnoteReference"/>
        </w:rPr>
        <w:footnoteRef/>
      </w:r>
      <w:hyperlink r:id="rId40" w:history="1">
        <w:r>
          <w:rPr>
            <w:rStyle w:val="Hyperlink"/>
          </w:rPr>
          <w:t>https://techcommunity.microsoft.com/blog/sqlserver/sql-server-2025-is-now-generally-available/4470570</w:t>
        </w:r>
      </w:hyperlink>
    </w:p>
  </w:footnote>
  <w:footnote w:id="41">
    <w:p w14:paraId="302CE532" w14:textId="77777777" w:rsidR="00B80895" w:rsidRDefault="00675E53">
      <w:r>
        <w:rPr>
          <w:rStyle w:val="FootnoteReference"/>
        </w:rPr>
        <w:footnoteRef/>
      </w:r>
      <w:hyperlink r:id="rId41" w:history="1">
        <w:r>
          <w:rPr>
            <w:rStyle w:val="Hyperlink"/>
          </w:rPr>
          <w:t>https://techcommunity.microsoft.com/blog/sqlserver/sql-server-2025-is-now-generally-available/4470570</w:t>
        </w:r>
      </w:hyperlink>
    </w:p>
  </w:footnote>
  <w:footnote w:id="42">
    <w:p w14:paraId="381219A7" w14:textId="77777777" w:rsidR="00B80895" w:rsidRDefault="00675E53">
      <w:r>
        <w:rPr>
          <w:rStyle w:val="FootnoteReference"/>
        </w:rPr>
        <w:footnoteRef/>
      </w:r>
      <w:hyperlink r:id="rId42" w:history="1">
        <w:r>
          <w:rPr>
            <w:rStyle w:val="Hyperlink"/>
          </w:rPr>
          <w:t>https://techcommunity.microsoft.com/blog/sqlserver/sql-server-2025-is-now-generally-available/4470570</w:t>
        </w:r>
      </w:hyperlink>
    </w:p>
  </w:footnote>
  <w:footnote w:id="43">
    <w:p w14:paraId="0DDC8E85" w14:textId="77777777" w:rsidR="00B80895" w:rsidRDefault="00675E53">
      <w:r>
        <w:rPr>
          <w:rStyle w:val="FootnoteReference"/>
        </w:rPr>
        <w:footnoteRef/>
      </w:r>
      <w:hyperlink r:id="rId43" w:history="1">
        <w:r>
          <w:rPr>
            <w:rStyle w:val="Hyperlink"/>
          </w:rPr>
          <w:t>https://techcommunity.microsoft.com/blog/azuresqlblog/2025-year-in-review-what%E2%80%99s-new-across-sql-server-azure-sql-and-sql-database-in-f/4477514</w:t>
        </w:r>
      </w:hyperlink>
    </w:p>
  </w:footnote>
  <w:footnote w:id="44">
    <w:p w14:paraId="27566EA9" w14:textId="77777777" w:rsidR="00B80895" w:rsidRDefault="00675E53">
      <w:r>
        <w:rPr>
          <w:rStyle w:val="FootnoteReference"/>
        </w:rPr>
        <w:footnoteRef/>
      </w:r>
      <w:hyperlink r:id="rId44" w:history="1">
        <w:r>
          <w:rPr>
            <w:rStyle w:val="Hyperlink"/>
          </w:rPr>
          <w:t>https://techcommunity.microsoft.com/t5/s/gxcuf89792/rss/board?board.id=SQLServer</w:t>
        </w:r>
      </w:hyperlink>
    </w:p>
  </w:footnote>
  <w:footnote w:id="45">
    <w:p w14:paraId="364605F4" w14:textId="77777777" w:rsidR="00B80895" w:rsidRDefault="00675E53">
      <w:r>
        <w:rPr>
          <w:rStyle w:val="FootnoteReference"/>
        </w:rPr>
        <w:footnoteRef/>
      </w:r>
      <w:hyperlink r:id="rId45" w:history="1">
        <w:r>
          <w:rPr>
            <w:rStyle w:val="Hyperlink"/>
          </w:rPr>
          <w:t>https://techcommunity.microsoft.com/t5/s/gxcuf89792/rss/board?board.id=SQLServer</w:t>
        </w:r>
      </w:hyperlink>
    </w:p>
  </w:footnote>
  <w:footnote w:id="46">
    <w:p w14:paraId="1FFA6293" w14:textId="77777777" w:rsidR="00B80895" w:rsidRDefault="00675E53">
      <w:r>
        <w:rPr>
          <w:rStyle w:val="FootnoteReference"/>
        </w:rPr>
        <w:footnoteRef/>
      </w:r>
      <w:hyperlink r:id="rId46" w:history="1">
        <w:r>
          <w:rPr>
            <w:rStyle w:val="Hyperlink"/>
          </w:rPr>
          <w:t>https://techcommunity.microsoft.com/t5/s/gxcuf89792/rss/board?board.id=SQLServer</w:t>
        </w:r>
      </w:hyperlink>
    </w:p>
  </w:footnote>
  <w:footnote w:id="47">
    <w:p w14:paraId="4362555E" w14:textId="77777777" w:rsidR="00B80895" w:rsidRDefault="00675E53">
      <w:r>
        <w:rPr>
          <w:rStyle w:val="FootnoteReference"/>
        </w:rPr>
        <w:footnoteRef/>
      </w:r>
      <w:hyperlink r:id="rId47" w:history="1">
        <w:r>
          <w:rPr>
            <w:rStyle w:val="Hyperlink"/>
          </w:rPr>
          <w:t>https://techcommunity.microsoft.com/t5/s/gxcuf89792/rss/board?board.id=SQLServer</w:t>
        </w:r>
      </w:hyperlink>
    </w:p>
  </w:footnote>
  <w:footnote w:id="48">
    <w:p w14:paraId="42FCC308" w14:textId="77777777" w:rsidR="00B80895" w:rsidRDefault="00675E53">
      <w:r>
        <w:rPr>
          <w:rStyle w:val="FootnoteReference"/>
        </w:rPr>
        <w:footnoteRef/>
      </w:r>
      <w:hyperlink r:id="rId48" w:history="1">
        <w:r>
          <w:rPr>
            <w:rStyle w:val="Hyperlink"/>
          </w:rPr>
          <w:t>https://techcommunity.microsoft.com/blog/sqlserver/sql-server-2025-is-now-generally-available/4470570</w:t>
        </w:r>
      </w:hyperlink>
    </w:p>
  </w:footnote>
  <w:footnote w:id="49">
    <w:p w14:paraId="033BD224" w14:textId="77777777" w:rsidR="00B80895" w:rsidRDefault="00675E53">
      <w:r>
        <w:rPr>
          <w:rStyle w:val="FootnoteReference"/>
        </w:rPr>
        <w:footnoteRef/>
      </w:r>
      <w:hyperlink r:id="rId49" w:history="1">
        <w:r>
          <w:rPr>
            <w:rStyle w:val="Hyperlink"/>
          </w:rPr>
          <w:t>https://techcommunity.microsoft.com/t5/s/gxcuf89792/rss/board?board.id=SQLServer</w:t>
        </w:r>
      </w:hyperlink>
    </w:p>
  </w:footnote>
  <w:footnote w:id="50">
    <w:p w14:paraId="6392ED72" w14:textId="77777777" w:rsidR="00B80895" w:rsidRDefault="00675E53">
      <w:r>
        <w:rPr>
          <w:rStyle w:val="FootnoteReference"/>
        </w:rPr>
        <w:footnoteRef/>
      </w:r>
      <w:hyperlink r:id="rId50" w:history="1">
        <w:r>
          <w:rPr>
            <w:rStyle w:val="Hyperlink"/>
          </w:rPr>
          <w:t>https://techcommunity.microsoft.com/t5/s/gxcuf89792/rss/board?board.id=SQLServer</w:t>
        </w:r>
      </w:hyperlink>
    </w:p>
  </w:footnote>
  <w:footnote w:id="51">
    <w:p w14:paraId="7F1796A2" w14:textId="77777777" w:rsidR="00B80895" w:rsidRDefault="00675E53">
      <w:r>
        <w:rPr>
          <w:rStyle w:val="FootnoteReference"/>
        </w:rPr>
        <w:footnoteRef/>
      </w:r>
      <w:hyperlink r:id="rId51" w:history="1">
        <w:r>
          <w:rPr>
            <w:rStyle w:val="Hyperlink"/>
          </w:rPr>
          <w:t>https://techcommunity.microsoft.com/t5/s/gxcuf89792/rss/board?board.id=SQLServer</w:t>
        </w:r>
      </w:hyperlink>
    </w:p>
  </w:footnote>
  <w:footnote w:id="52">
    <w:p w14:paraId="1F487BEB" w14:textId="77777777" w:rsidR="00B80895" w:rsidRDefault="00675E53">
      <w:r>
        <w:rPr>
          <w:rStyle w:val="FootnoteReference"/>
        </w:rPr>
        <w:footnoteRef/>
      </w:r>
      <w:hyperlink r:id="rId52" w:history="1">
        <w:r>
          <w:rPr>
            <w:rStyle w:val="Hyperlink"/>
          </w:rPr>
          <w:t>https://techcommunity.microsoft.com/t5/s/gxcuf89792/rss/board?board.id=SQLServer</w:t>
        </w:r>
      </w:hyperlink>
    </w:p>
  </w:footnote>
  <w:footnote w:id="53">
    <w:p w14:paraId="6CFEF8DA" w14:textId="77777777" w:rsidR="00B80895" w:rsidRDefault="00675E53">
      <w:r>
        <w:rPr>
          <w:rStyle w:val="FootnoteReference"/>
        </w:rPr>
        <w:footnoteRef/>
      </w:r>
      <w:hyperlink r:id="rId53" w:history="1">
        <w:r>
          <w:rPr>
            <w:rStyle w:val="Hyperlink"/>
          </w:rPr>
          <w:t>https://techcommunity.microsoft.com/t5/s/gxcuf89792/rss/board?board.id=SQLServer</w:t>
        </w:r>
      </w:hyperlink>
    </w:p>
  </w:footnote>
  <w:footnote w:id="54">
    <w:p w14:paraId="3713773A" w14:textId="77777777" w:rsidR="00B80895" w:rsidRDefault="00675E53">
      <w:r>
        <w:rPr>
          <w:rStyle w:val="FootnoteReference"/>
        </w:rPr>
        <w:footnoteRef/>
      </w:r>
      <w:hyperlink r:id="rId54" w:history="1">
        <w:r>
          <w:rPr>
            <w:rStyle w:val="Hyperlink"/>
          </w:rPr>
          <w:t>https://techcommunity.microsoft.com/t5/s/gxcuf89792/rss/board?board.id=SQLServer</w:t>
        </w:r>
      </w:hyperlink>
    </w:p>
  </w:footnote>
  <w:footnote w:id="55">
    <w:p w14:paraId="30B75D22" w14:textId="77777777" w:rsidR="00B80895" w:rsidRDefault="00675E53">
      <w:r>
        <w:rPr>
          <w:rStyle w:val="FootnoteReference"/>
        </w:rPr>
        <w:footnoteRef/>
      </w:r>
      <w:hyperlink r:id="rId55" w:history="1">
        <w:r>
          <w:rPr>
            <w:rStyle w:val="Hyperlink"/>
          </w:rPr>
          <w:t>https://techcommunity.microsoft.com/t5/s/gxcuf89792/rss/board?board.id=SQLServer</w:t>
        </w:r>
      </w:hyperlink>
    </w:p>
  </w:footnote>
  <w:footnote w:id="56">
    <w:p w14:paraId="2B8AA081" w14:textId="77777777" w:rsidR="00B80895" w:rsidRDefault="00675E53">
      <w:r>
        <w:rPr>
          <w:rStyle w:val="FootnoteReference"/>
        </w:rPr>
        <w:footnoteRef/>
      </w:r>
      <w:hyperlink r:id="rId56" w:history="1">
        <w:r>
          <w:rPr>
            <w:rStyle w:val="Hyperlink"/>
          </w:rPr>
          <w:t>https://techcommunity.microsoft.com/t5/s/gxcuf89792/rss/board?board.id=SQLServer</w:t>
        </w:r>
      </w:hyperlink>
    </w:p>
  </w:footnote>
  <w:footnote w:id="57">
    <w:p w14:paraId="47C7BB9C" w14:textId="77777777" w:rsidR="00B80895" w:rsidRDefault="00675E53">
      <w:r>
        <w:rPr>
          <w:rStyle w:val="FootnoteReference"/>
        </w:rPr>
        <w:footnoteRef/>
      </w:r>
      <w:hyperlink r:id="rId57" w:history="1">
        <w:r>
          <w:rPr>
            <w:rStyle w:val="Hyperlink"/>
          </w:rPr>
          <w:t>https://techcommunity.microsoft.com/blog/sqlserver/sql-server-2025-is-now-generally-available/4470570</w:t>
        </w:r>
      </w:hyperlink>
    </w:p>
  </w:footnote>
  <w:footnote w:id="58">
    <w:p w14:paraId="30EC70E3" w14:textId="77777777" w:rsidR="00B80895" w:rsidRDefault="00675E53">
      <w:r>
        <w:rPr>
          <w:rStyle w:val="FootnoteReference"/>
        </w:rPr>
        <w:footnoteRef/>
      </w:r>
      <w:hyperlink r:id="rId58" w:history="1">
        <w:r>
          <w:rPr>
            <w:rStyle w:val="Hyperlink"/>
          </w:rPr>
          <w:t>https://techcommunity.microsoft.com/blog/sqlserver/sql-server-2025-is-now-generally-available/4470570</w:t>
        </w:r>
      </w:hyperlink>
    </w:p>
  </w:footnote>
  <w:footnote w:id="59">
    <w:p w14:paraId="16F4A046" w14:textId="77777777" w:rsidR="00B80895" w:rsidRDefault="00675E53">
      <w:r>
        <w:rPr>
          <w:rStyle w:val="FootnoteReference"/>
        </w:rPr>
        <w:footnoteRef/>
      </w:r>
      <w:hyperlink r:id="rId59" w:history="1">
        <w:r>
          <w:rPr>
            <w:rStyle w:val="Hyperlink"/>
          </w:rPr>
          <w:t>https://techcommunity.microsoft.com/blog/sqlserver/sql-server-2025-is-now-generally-available/4470570</w:t>
        </w:r>
      </w:hyperlink>
    </w:p>
  </w:footnote>
  <w:footnote w:id="60">
    <w:p w14:paraId="794DA4F7" w14:textId="77777777" w:rsidR="00B80895" w:rsidRDefault="00675E53">
      <w:r>
        <w:rPr>
          <w:rStyle w:val="FootnoteReference"/>
        </w:rPr>
        <w:footnoteRef/>
      </w:r>
      <w:hyperlink r:id="rId60" w:history="1">
        <w:r>
          <w:rPr>
            <w:rStyle w:val="Hyperlink"/>
          </w:rPr>
          <w:t>https://techcommunity.microsoft.com/blog/sqlserver/sql-server-2025-is-now-generally-available/4470570</w:t>
        </w:r>
      </w:hyperlink>
    </w:p>
  </w:footnote>
  <w:footnote w:id="61">
    <w:p w14:paraId="22B0E505" w14:textId="77777777" w:rsidR="00B80895" w:rsidRDefault="00675E53">
      <w:r>
        <w:rPr>
          <w:rStyle w:val="FootnoteReference"/>
        </w:rPr>
        <w:footnoteRef/>
      </w:r>
      <w:hyperlink r:id="rId61" w:history="1">
        <w:r>
          <w:rPr>
            <w:rStyle w:val="Hyperlink"/>
          </w:rPr>
          <w:t>https://techcommunity.microsoft.com/blog/sqlserver/sql-server-2025-is-now-generally-available/4470570</w:t>
        </w:r>
      </w:hyperlink>
    </w:p>
  </w:footnote>
  <w:footnote w:id="62">
    <w:p w14:paraId="5FEDBAFC" w14:textId="77777777" w:rsidR="00B80895" w:rsidRDefault="00675E53">
      <w:r>
        <w:rPr>
          <w:rStyle w:val="FootnoteReference"/>
        </w:rPr>
        <w:footnoteRef/>
      </w:r>
      <w:hyperlink r:id="rId62" w:history="1">
        <w:r>
          <w:rPr>
            <w:rStyle w:val="Hyperlink"/>
          </w:rPr>
          <w:t>https://techcommunity.microsoft.com/blog/sqlserver/sql-server-2025-is-now-generally-available/4470570</w:t>
        </w:r>
      </w:hyperlink>
    </w:p>
  </w:footnote>
  <w:footnote w:id="63">
    <w:p w14:paraId="3D283CE9" w14:textId="77777777" w:rsidR="00B80895" w:rsidRDefault="00675E53">
      <w:r>
        <w:rPr>
          <w:rStyle w:val="FootnoteReference"/>
        </w:rPr>
        <w:footnoteRef/>
      </w:r>
      <w:hyperlink r:id="rId63" w:history="1">
        <w:r>
          <w:rPr>
            <w:rStyle w:val="Hyperlink"/>
          </w:rPr>
          <w:t>https://techcommunity.microsoft.com/blog/sqlserver/sql-server-2025-is-now-generally-available/4470570</w:t>
        </w:r>
      </w:hyperlink>
    </w:p>
  </w:footnote>
  <w:footnote w:id="64">
    <w:p w14:paraId="4369AD77" w14:textId="77777777" w:rsidR="00B80895" w:rsidRDefault="00675E53">
      <w:r>
        <w:rPr>
          <w:rStyle w:val="FootnoteReference"/>
        </w:rPr>
        <w:footnoteRef/>
      </w:r>
      <w:hyperlink r:id="rId64" w:history="1">
        <w:r>
          <w:rPr>
            <w:rStyle w:val="Hyperlink"/>
          </w:rPr>
          <w:t>https://techcommunity.microsoft.com/blog/sqlserver/sql-server-2025-is-now-generally-available/4470570</w:t>
        </w:r>
      </w:hyperlink>
    </w:p>
  </w:footnote>
  <w:footnote w:id="65">
    <w:p w14:paraId="60CF7C70" w14:textId="77777777" w:rsidR="00B80895" w:rsidRDefault="00675E53">
      <w:r>
        <w:rPr>
          <w:rStyle w:val="FootnoteReference"/>
        </w:rPr>
        <w:footnoteRef/>
      </w:r>
      <w:hyperlink r:id="rId65" w:history="1">
        <w:r>
          <w:rPr>
            <w:rStyle w:val="Hyperlink"/>
          </w:rPr>
          <w:t>https://techcommunity.microsoft.com/blog/sqlserver/sql-server-2025-is-now-generally-available/4470570</w:t>
        </w:r>
      </w:hyperlink>
    </w:p>
  </w:footnote>
  <w:footnote w:id="66">
    <w:p w14:paraId="3B805780" w14:textId="77777777" w:rsidR="00B80895" w:rsidRDefault="00675E53">
      <w:r>
        <w:rPr>
          <w:rStyle w:val="FootnoteReference"/>
        </w:rPr>
        <w:footnoteRef/>
      </w:r>
      <w:hyperlink r:id="rId66" w:history="1">
        <w:r>
          <w:rPr>
            <w:rStyle w:val="Hyperlink"/>
          </w:rPr>
          <w:t>https://docs.oracle.com/en-us/iaas/mysql-database/doc/mysql-server-versions.html</w:t>
        </w:r>
      </w:hyperlink>
    </w:p>
  </w:footnote>
  <w:footnote w:id="67">
    <w:p w14:paraId="774ECEAE" w14:textId="77777777" w:rsidR="00B80895" w:rsidRDefault="00675E53">
      <w:r>
        <w:rPr>
          <w:rStyle w:val="FootnoteReference"/>
        </w:rPr>
        <w:footnoteRef/>
      </w:r>
      <w:hyperlink r:id="rId67" w:history="1">
        <w:r>
          <w:rPr>
            <w:rStyle w:val="Hyperlink"/>
          </w:rPr>
          <w:t>https://blogs.oracle.com/mysql/celebrating-30-years-of-mysql-a-global-recap-of-events-in-2025</w:t>
        </w:r>
      </w:hyperlink>
    </w:p>
  </w:footnote>
  <w:footnote w:id="68">
    <w:p w14:paraId="53B2492B" w14:textId="77777777" w:rsidR="00B80895" w:rsidRDefault="00675E53">
      <w:r>
        <w:rPr>
          <w:rStyle w:val="FootnoteReference"/>
        </w:rPr>
        <w:footnoteRef/>
      </w:r>
      <w:hyperlink r:id="rId68" w:history="1">
        <w:r>
          <w:rPr>
            <w:rStyle w:val="Hyperlink"/>
          </w:rPr>
          <w:t>https://blogs.oracle.com/mysql/celebrating-30-years-of-mysql-a-global-recap-of-events-in-2025</w:t>
        </w:r>
      </w:hyperlink>
    </w:p>
  </w:footnote>
  <w:footnote w:id="69">
    <w:p w14:paraId="3F5F5FE9" w14:textId="77777777" w:rsidR="00B80895" w:rsidRDefault="00675E53">
      <w:r>
        <w:rPr>
          <w:rStyle w:val="FootnoteReference"/>
        </w:rPr>
        <w:footnoteRef/>
      </w:r>
      <w:hyperlink r:id="rId69" w:history="1">
        <w:r>
          <w:rPr>
            <w:rStyle w:val="Hyperlink"/>
          </w:rPr>
          <w:t>https://blogs.oracle.com/mysql/celebrating-30-years-of-mysql-a-global-recap-of-events-in-2025</w:t>
        </w:r>
      </w:hyperlink>
    </w:p>
  </w:footnote>
  <w:footnote w:id="70">
    <w:p w14:paraId="77F8EDBF" w14:textId="77777777" w:rsidR="00B80895" w:rsidRDefault="00675E53">
      <w:r>
        <w:rPr>
          <w:rStyle w:val="FootnoteReference"/>
        </w:rPr>
        <w:footnoteRef/>
      </w:r>
      <w:hyperlink r:id="rId70" w:history="1">
        <w:r>
          <w:rPr>
            <w:rStyle w:val="Hyperlink"/>
          </w:rPr>
          <w:t>https://blogs.oracle.com/mysql/celebrating-30-years-of-mysql-a-global-recap-of-events-in-2025</w:t>
        </w:r>
      </w:hyperlink>
    </w:p>
  </w:footnote>
  <w:footnote w:id="71">
    <w:p w14:paraId="4D9DD64A" w14:textId="77777777" w:rsidR="00B80895" w:rsidRDefault="00675E53">
      <w:r>
        <w:rPr>
          <w:rStyle w:val="FootnoteReference"/>
        </w:rPr>
        <w:footnoteRef/>
      </w:r>
      <w:hyperlink r:id="rId71" w:history="1">
        <w:r>
          <w:rPr>
            <w:rStyle w:val="Hyperlink"/>
          </w:rPr>
          <w:t>https://docs.oracle.com/en-us/iaas/mysql-database/doc/mysql-server-versions.html</w:t>
        </w:r>
      </w:hyperlink>
    </w:p>
  </w:footnote>
  <w:footnote w:id="72">
    <w:p w14:paraId="5200A7D9" w14:textId="77777777" w:rsidR="00B80895" w:rsidRDefault="00675E53">
      <w:r>
        <w:rPr>
          <w:rStyle w:val="FootnoteReference"/>
        </w:rPr>
        <w:footnoteRef/>
      </w:r>
      <w:hyperlink r:id="rId72" w:history="1">
        <w:r>
          <w:rPr>
            <w:rStyle w:val="Hyperlink"/>
          </w:rPr>
          <w:t>https://docs.oracle.com/en-us/iaas/mysql-database/doc/mysql-server-versions.html</w:t>
        </w:r>
      </w:hyperlink>
    </w:p>
  </w:footnote>
  <w:footnote w:id="73">
    <w:p w14:paraId="2B841856" w14:textId="77777777" w:rsidR="00B80895" w:rsidRDefault="00675E53">
      <w:r>
        <w:rPr>
          <w:rStyle w:val="FootnoteReference"/>
        </w:rPr>
        <w:footnoteRef/>
      </w:r>
      <w:hyperlink r:id="rId73" w:history="1">
        <w:r>
          <w:rPr>
            <w:rStyle w:val="Hyperlink"/>
          </w:rPr>
          <w:t>https://docs.oracle.com/en-us/iaas/mysql-database/doc/mysql-server-versions.html</w:t>
        </w:r>
      </w:hyperlink>
    </w:p>
  </w:footnote>
  <w:footnote w:id="74">
    <w:p w14:paraId="65BF752B" w14:textId="77777777" w:rsidR="00B80895" w:rsidRDefault="00675E53">
      <w:r>
        <w:rPr>
          <w:rStyle w:val="FootnoteReference"/>
        </w:rPr>
        <w:footnoteRef/>
      </w:r>
      <w:hyperlink r:id="rId74" w:history="1">
        <w:r>
          <w:rPr>
            <w:rStyle w:val="Hyperlink"/>
          </w:rPr>
          <w:t>https://mariadb.com/resources/blog/mariadb-enterprise-server-q4-2025-maintenance-releases-with-backported-features/</w:t>
        </w:r>
      </w:hyperlink>
    </w:p>
  </w:footnote>
  <w:footnote w:id="75">
    <w:p w14:paraId="660C9943" w14:textId="77777777" w:rsidR="00B80895" w:rsidRDefault="00675E53">
      <w:r>
        <w:rPr>
          <w:rStyle w:val="FootnoteReference"/>
        </w:rPr>
        <w:footnoteRef/>
      </w:r>
      <w:hyperlink r:id="rId75" w:history="1">
        <w:r>
          <w:rPr>
            <w:rStyle w:val="Hyperlink"/>
          </w:rPr>
          <w:t>https://mariadb.com/resources/blog/mariadb-enterprise-server-q4-2025-maintenance-releases-with-backported-features/</w:t>
        </w:r>
      </w:hyperlink>
    </w:p>
  </w:footnote>
  <w:footnote w:id="76">
    <w:p w14:paraId="0FB137D4" w14:textId="77777777" w:rsidR="00B80895" w:rsidRDefault="00675E53">
      <w:r>
        <w:rPr>
          <w:rStyle w:val="FootnoteReference"/>
        </w:rPr>
        <w:footnoteRef/>
      </w:r>
      <w:hyperlink r:id="rId76" w:history="1">
        <w:r>
          <w:rPr>
            <w:rStyle w:val="Hyperlink"/>
          </w:rPr>
          <w:t>https://mariadb.com/resources/blog/mariadb-enterprise-server-q4-2025-maintenance-releases-with-backported-features/</w:t>
        </w:r>
      </w:hyperlink>
    </w:p>
  </w:footnote>
  <w:footnote w:id="77">
    <w:p w14:paraId="532667A4" w14:textId="77777777" w:rsidR="00B80895" w:rsidRDefault="00675E53">
      <w:r>
        <w:rPr>
          <w:rStyle w:val="FootnoteReference"/>
        </w:rPr>
        <w:footnoteRef/>
      </w:r>
      <w:hyperlink r:id="rId77" w:history="1">
        <w:r>
          <w:rPr>
            <w:rStyle w:val="Hyperlink"/>
          </w:rPr>
          <w:t>https://mariadb.com/resources/blog/mariadb-enterprise-server-q4-2025-maintenance-releases-with-backported-features/</w:t>
        </w:r>
      </w:hyperlink>
    </w:p>
  </w:footnote>
  <w:footnote w:id="78">
    <w:p w14:paraId="085A21FB" w14:textId="77777777" w:rsidR="00B80895" w:rsidRDefault="00675E53">
      <w:r>
        <w:rPr>
          <w:rStyle w:val="FootnoteReference"/>
        </w:rPr>
        <w:footnoteRef/>
      </w:r>
      <w:hyperlink r:id="rId78" w:history="1">
        <w:r>
          <w:rPr>
            <w:rStyle w:val="Hyperlink"/>
          </w:rPr>
          <w:t>https://mariadb.com/resources/blog/mariadb-enterprise-server-q4-2025-maintenance-releases-with-backported-features/</w:t>
        </w:r>
      </w:hyperlink>
    </w:p>
  </w:footnote>
  <w:footnote w:id="79">
    <w:p w14:paraId="4850735E" w14:textId="77777777" w:rsidR="00B80895" w:rsidRDefault="00675E53">
      <w:r>
        <w:rPr>
          <w:rStyle w:val="FootnoteReference"/>
        </w:rPr>
        <w:footnoteRef/>
      </w:r>
      <w:hyperlink r:id="rId79" w:history="1">
        <w:r>
          <w:rPr>
            <w:rStyle w:val="Hyperlink"/>
          </w:rPr>
          <w:t>https://mariadb.com/resources/blog/mariadb-enterprise-server-q4-2025-maintenance-releases-with-backported-features/</w:t>
        </w:r>
      </w:hyperlink>
    </w:p>
  </w:footnote>
  <w:footnote w:id="80">
    <w:p w14:paraId="23DBC93C" w14:textId="77777777" w:rsidR="00B80895" w:rsidRDefault="00675E53">
      <w:r>
        <w:rPr>
          <w:rStyle w:val="FootnoteReference"/>
        </w:rPr>
        <w:footnoteRef/>
      </w:r>
      <w:hyperlink r:id="rId80" w:history="1">
        <w:r>
          <w:rPr>
            <w:rStyle w:val="Hyperlink"/>
          </w:rPr>
          <w:t>https://mariadb.com/resources/blog/mariadb-enterprise-server-q4-2025-maintenance-releases-with-backported-features/</w:t>
        </w:r>
      </w:hyperlink>
    </w:p>
  </w:footnote>
  <w:footnote w:id="81">
    <w:p w14:paraId="1193CB21" w14:textId="77777777" w:rsidR="00B80895" w:rsidRDefault="00675E53">
      <w:r>
        <w:rPr>
          <w:rStyle w:val="FootnoteReference"/>
        </w:rPr>
        <w:footnoteRef/>
      </w:r>
      <w:hyperlink r:id="rId81" w:history="1">
        <w:r>
          <w:rPr>
            <w:rStyle w:val="Hyperlink"/>
          </w:rPr>
          <w:t>https://mariadb.com/resources/blog/mariadb-enterprise-server-q4-2025-maintenance-releases-with-backported-features/</w:t>
        </w:r>
      </w:hyperlink>
    </w:p>
  </w:footnote>
  <w:footnote w:id="82">
    <w:p w14:paraId="0695FA60" w14:textId="77777777" w:rsidR="00B80895" w:rsidRDefault="00675E53">
      <w:r>
        <w:rPr>
          <w:rStyle w:val="FootnoteReference"/>
        </w:rPr>
        <w:footnoteRef/>
      </w:r>
      <w:hyperlink r:id="rId82" w:history="1">
        <w:r>
          <w:rPr>
            <w:rStyle w:val="Hyperlink"/>
          </w:rPr>
          <w:t>https://mariadb.com/resources/blog/mariadb-enterprise-server-q4-2025-maintenance-releases-with-backported-features/</w:t>
        </w:r>
      </w:hyperlink>
    </w:p>
  </w:footnote>
  <w:footnote w:id="83">
    <w:p w14:paraId="167643CA" w14:textId="77777777" w:rsidR="00B80895" w:rsidRDefault="00675E53">
      <w:r>
        <w:rPr>
          <w:rStyle w:val="FootnoteReference"/>
        </w:rPr>
        <w:footnoteRef/>
      </w:r>
      <w:hyperlink r:id="rId83" w:history="1">
        <w:r>
          <w:rPr>
            <w:rStyle w:val="Hyperlink"/>
          </w:rPr>
          <w:t>https://mariadb.com/resources/blog/mariadb-enterprise-server-q4-2025-maintenance-releases-with-backported-features/</w:t>
        </w:r>
      </w:hyperlink>
    </w:p>
  </w:footnote>
  <w:footnote w:id="84">
    <w:p w14:paraId="07F631EC" w14:textId="77777777" w:rsidR="00B80895" w:rsidRDefault="00675E53">
      <w:r>
        <w:rPr>
          <w:rStyle w:val="FootnoteReference"/>
        </w:rPr>
        <w:footnoteRef/>
      </w:r>
      <w:hyperlink r:id="rId84" w:history="1">
        <w:r>
          <w:rPr>
            <w:rStyle w:val="Hyperlink"/>
          </w:rPr>
          <w:t>https://mariadb.com/resources/blog/mariadb-enterprise-server-q4-2025-maintenance-releases-with-backported-features/</w:t>
        </w:r>
      </w:hyperlink>
    </w:p>
  </w:footnote>
  <w:footnote w:id="85">
    <w:p w14:paraId="25B4A48E" w14:textId="77777777" w:rsidR="00B80895" w:rsidRDefault="00675E53">
      <w:r>
        <w:rPr>
          <w:rStyle w:val="FootnoteReference"/>
        </w:rPr>
        <w:footnoteRef/>
      </w:r>
      <w:hyperlink r:id="rId85" w:history="1">
        <w:r>
          <w:rPr>
            <w:rStyle w:val="Hyperlink"/>
          </w:rPr>
          <w:t>https://mariadb.com/resources/blog/mariadb-enterprise-server-q4-2025-maintenance-releases-with-backported-features/</w:t>
        </w:r>
      </w:hyperlink>
    </w:p>
  </w:footnote>
  <w:footnote w:id="86">
    <w:p w14:paraId="39426BBF" w14:textId="77777777" w:rsidR="00B80895" w:rsidRDefault="00675E53">
      <w:r>
        <w:rPr>
          <w:rStyle w:val="FootnoteReference"/>
        </w:rPr>
        <w:footnoteRef/>
      </w:r>
      <w:hyperlink r:id="rId86" w:history="1">
        <w:r>
          <w:rPr>
            <w:rStyle w:val="Hyperlink"/>
          </w:rPr>
          <w:t>https://mariadb.com/resources/blog/mariadb-enterprise-server-q4-2025-maintenance-releases-with-backported-features/</w:t>
        </w:r>
      </w:hyperlink>
    </w:p>
  </w:footnote>
  <w:footnote w:id="87">
    <w:p w14:paraId="19F7AF45" w14:textId="77777777" w:rsidR="00B80895" w:rsidRDefault="00675E53">
      <w:r>
        <w:rPr>
          <w:rStyle w:val="FootnoteReference"/>
        </w:rPr>
        <w:footnoteRef/>
      </w:r>
      <w:hyperlink r:id="rId87" w:history="1">
        <w:r>
          <w:rPr>
            <w:rStyle w:val="Hyperlink"/>
          </w:rPr>
          <w:t>https://mariadb.com/resources/blog/mariadb-enterprise-server-q4-2025-maintenance-releases-with-backported-features/</w:t>
        </w:r>
      </w:hyperlink>
    </w:p>
  </w:footnote>
  <w:footnote w:id="88">
    <w:p w14:paraId="36A84DCA" w14:textId="77777777" w:rsidR="00B80895" w:rsidRDefault="00675E53">
      <w:r>
        <w:rPr>
          <w:rStyle w:val="FootnoteReference"/>
        </w:rPr>
        <w:footnoteRef/>
      </w:r>
      <w:hyperlink r:id="rId88" w:history="1">
        <w:r>
          <w:rPr>
            <w:rStyle w:val="Hyperlink"/>
          </w:rPr>
          <w:t>https://mariadb.com/resources/blog/mariadb-enterprise-server-q4-2025-maintenance-releases-with-backported-features/</w:t>
        </w:r>
      </w:hyperlink>
    </w:p>
  </w:footnote>
  <w:footnote w:id="89">
    <w:p w14:paraId="197EF938" w14:textId="77777777" w:rsidR="00B80895" w:rsidRDefault="00675E53">
      <w:r>
        <w:rPr>
          <w:rStyle w:val="FootnoteReference"/>
        </w:rPr>
        <w:footnoteRef/>
      </w:r>
      <w:hyperlink r:id="rId89" w:history="1">
        <w:r>
          <w:rPr>
            <w:rStyle w:val="Hyperlink"/>
          </w:rPr>
          <w:t>https://mariadb.com/resources/blog/mariadb-enterprise-server-q4-2025-maintenance-releases-with-backported-features/</w:t>
        </w:r>
      </w:hyperlink>
    </w:p>
  </w:footnote>
  <w:footnote w:id="90">
    <w:p w14:paraId="33D48BFE" w14:textId="77777777" w:rsidR="00B80895" w:rsidRDefault="00675E53">
      <w:r>
        <w:rPr>
          <w:rStyle w:val="FootnoteReference"/>
        </w:rPr>
        <w:footnoteRef/>
      </w:r>
      <w:hyperlink r:id="rId90" w:history="1">
        <w:r>
          <w:rPr>
            <w:rStyle w:val="Hyperlink"/>
          </w:rPr>
          <w:t>https://www.postgresql.org/about/newsarchive/</w:t>
        </w:r>
      </w:hyperlink>
    </w:p>
  </w:footnote>
  <w:footnote w:id="91">
    <w:p w14:paraId="5BC28FB7" w14:textId="77777777" w:rsidR="00B80895" w:rsidRDefault="00675E53">
      <w:r>
        <w:rPr>
          <w:rStyle w:val="FootnoteReference"/>
        </w:rPr>
        <w:footnoteRef/>
      </w:r>
      <w:hyperlink r:id="rId91" w:history="1">
        <w:r>
          <w:rPr>
            <w:rStyle w:val="Hyperlink"/>
          </w:rPr>
          <w:t>https://www.postgresql.org/about/newsarchive/</w:t>
        </w:r>
      </w:hyperlink>
    </w:p>
  </w:footnote>
  <w:footnote w:id="92">
    <w:p w14:paraId="3AFA0164" w14:textId="77777777" w:rsidR="00B80895" w:rsidRDefault="00675E53">
      <w:r>
        <w:rPr>
          <w:rStyle w:val="FootnoteReference"/>
        </w:rPr>
        <w:footnoteRef/>
      </w:r>
      <w:hyperlink r:id="rId92" w:history="1">
        <w:r>
          <w:rPr>
            <w:rStyle w:val="Hyperlink"/>
          </w:rPr>
          <w:t>https://www.postgresql.org/about/newsarchive/</w:t>
        </w:r>
      </w:hyperlink>
    </w:p>
  </w:footnote>
  <w:footnote w:id="93">
    <w:p w14:paraId="5A8EB2BE" w14:textId="77777777" w:rsidR="00B80895" w:rsidRDefault="00675E53">
      <w:r>
        <w:rPr>
          <w:rStyle w:val="FootnoteReference"/>
        </w:rPr>
        <w:footnoteRef/>
      </w:r>
      <w:hyperlink r:id="rId93" w:history="1">
        <w:r>
          <w:rPr>
            <w:rStyle w:val="Hyperlink"/>
          </w:rPr>
          <w:t>https://www.postgresql.org/about/newsarchive/</w:t>
        </w:r>
      </w:hyperlink>
    </w:p>
  </w:footnote>
  <w:footnote w:id="94">
    <w:p w14:paraId="08EEAEFE" w14:textId="77777777" w:rsidR="00B80895" w:rsidRDefault="00675E53">
      <w:r>
        <w:rPr>
          <w:rStyle w:val="FootnoteReference"/>
        </w:rPr>
        <w:footnoteRef/>
      </w:r>
      <w:hyperlink r:id="rId94" w:history="1">
        <w:r>
          <w:rPr>
            <w:rStyle w:val="Hyperlink"/>
          </w:rPr>
          <w:t>https://www.postgresql.org/about/newsarchive/</w:t>
        </w:r>
      </w:hyperlink>
    </w:p>
  </w:footnote>
  <w:footnote w:id="95">
    <w:p w14:paraId="39DCF0AD" w14:textId="77777777" w:rsidR="00B80895" w:rsidRDefault="00675E53">
      <w:r>
        <w:rPr>
          <w:rStyle w:val="FootnoteReference"/>
        </w:rPr>
        <w:footnoteRef/>
      </w:r>
      <w:hyperlink r:id="rId95" w:history="1">
        <w:r>
          <w:rPr>
            <w:rStyle w:val="Hyperlink"/>
          </w:rPr>
          <w:t>https://www.postgresql.org/about/newsarchive/</w:t>
        </w:r>
      </w:hyperlink>
    </w:p>
  </w:footnote>
  <w:footnote w:id="96">
    <w:p w14:paraId="0ED336EA" w14:textId="77777777" w:rsidR="00B80895" w:rsidRDefault="00675E53">
      <w:r>
        <w:rPr>
          <w:rStyle w:val="FootnoteReference"/>
        </w:rPr>
        <w:footnoteRef/>
      </w:r>
      <w:hyperlink r:id="rId96" w:history="1">
        <w:r>
          <w:rPr>
            <w:rStyle w:val="Hyperlink"/>
          </w:rPr>
          <w:t>https://www.postgresql.org/about/newsarchive/</w:t>
        </w:r>
      </w:hyperlink>
    </w:p>
  </w:footnote>
  <w:footnote w:id="97">
    <w:p w14:paraId="2A4B627A" w14:textId="77777777" w:rsidR="00B80895" w:rsidRDefault="00675E53">
      <w:r>
        <w:rPr>
          <w:rStyle w:val="FootnoteReference"/>
        </w:rPr>
        <w:footnoteRef/>
      </w:r>
      <w:hyperlink r:id="rId97" w:history="1">
        <w:r>
          <w:rPr>
            <w:rStyle w:val="Hyperlink"/>
          </w:rPr>
          <w:t>https://www.postgresql.org/about/newsarchive/</w:t>
        </w:r>
      </w:hyperlink>
    </w:p>
  </w:footnote>
  <w:footnote w:id="98">
    <w:p w14:paraId="53B7720F" w14:textId="77777777" w:rsidR="00B80895" w:rsidRDefault="00675E53">
      <w:r>
        <w:rPr>
          <w:rStyle w:val="FootnoteReference"/>
        </w:rPr>
        <w:footnoteRef/>
      </w:r>
      <w:hyperlink r:id="rId98" w:history="1">
        <w:r>
          <w:rPr>
            <w:rStyle w:val="Hyperlink"/>
          </w:rPr>
          <w:t>https://www.postgresql.org/about/newsarchive/</w:t>
        </w:r>
      </w:hyperlink>
    </w:p>
  </w:footnote>
  <w:footnote w:id="99">
    <w:p w14:paraId="6C35DDB3" w14:textId="77777777" w:rsidR="00B80895" w:rsidRDefault="00675E53">
      <w:r>
        <w:rPr>
          <w:rStyle w:val="FootnoteReference"/>
        </w:rPr>
        <w:footnoteRef/>
      </w:r>
      <w:hyperlink r:id="rId99" w:history="1">
        <w:r>
          <w:rPr>
            <w:rStyle w:val="Hyperlink"/>
          </w:rPr>
          <w:t>https://www.postgresql.org/about/newsarchive/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B36"/>
    <w:multiLevelType w:val="hybridMultilevel"/>
    <w:tmpl w:val="FFFFFFFF"/>
    <w:lvl w:ilvl="0" w:tplc="94445792">
      <w:start w:val="1"/>
      <w:numFmt w:val="bullet"/>
      <w:lvlText w:val="●"/>
      <w:lvlJc w:val="left"/>
      <w:pPr>
        <w:ind w:left="720" w:hanging="360"/>
      </w:pPr>
    </w:lvl>
    <w:lvl w:ilvl="1" w:tplc="D22C6020">
      <w:start w:val="1"/>
      <w:numFmt w:val="bullet"/>
      <w:lvlText w:val="○"/>
      <w:lvlJc w:val="left"/>
      <w:pPr>
        <w:ind w:left="1440" w:hanging="360"/>
      </w:pPr>
    </w:lvl>
    <w:lvl w:ilvl="2" w:tplc="313C5AC4">
      <w:start w:val="1"/>
      <w:numFmt w:val="bullet"/>
      <w:lvlText w:val="■"/>
      <w:lvlJc w:val="left"/>
      <w:pPr>
        <w:ind w:left="2160" w:hanging="360"/>
      </w:pPr>
    </w:lvl>
    <w:lvl w:ilvl="3" w:tplc="6E9261F0">
      <w:start w:val="1"/>
      <w:numFmt w:val="bullet"/>
      <w:lvlText w:val="●"/>
      <w:lvlJc w:val="left"/>
      <w:pPr>
        <w:ind w:left="2880" w:hanging="360"/>
      </w:pPr>
    </w:lvl>
    <w:lvl w:ilvl="4" w:tplc="B54CB87A">
      <w:start w:val="1"/>
      <w:numFmt w:val="bullet"/>
      <w:lvlText w:val="○"/>
      <w:lvlJc w:val="left"/>
      <w:pPr>
        <w:ind w:left="3600" w:hanging="360"/>
      </w:pPr>
    </w:lvl>
    <w:lvl w:ilvl="5" w:tplc="AA9CBE46">
      <w:start w:val="1"/>
      <w:numFmt w:val="bullet"/>
      <w:lvlText w:val="■"/>
      <w:lvlJc w:val="left"/>
      <w:pPr>
        <w:ind w:left="4320" w:hanging="360"/>
      </w:pPr>
    </w:lvl>
    <w:lvl w:ilvl="6" w:tplc="368022DC">
      <w:start w:val="1"/>
      <w:numFmt w:val="bullet"/>
      <w:lvlText w:val="●"/>
      <w:lvlJc w:val="left"/>
      <w:pPr>
        <w:ind w:left="5040" w:hanging="360"/>
      </w:pPr>
    </w:lvl>
    <w:lvl w:ilvl="7" w:tplc="9A84418A">
      <w:start w:val="1"/>
      <w:numFmt w:val="bullet"/>
      <w:lvlText w:val="●"/>
      <w:lvlJc w:val="left"/>
      <w:pPr>
        <w:ind w:left="5760" w:hanging="360"/>
      </w:pPr>
    </w:lvl>
    <w:lvl w:ilvl="8" w:tplc="A596E7B2">
      <w:start w:val="1"/>
      <w:numFmt w:val="bullet"/>
      <w:lvlText w:val="●"/>
      <w:lvlJc w:val="left"/>
      <w:pPr>
        <w:ind w:left="6480" w:hanging="360"/>
      </w:pPr>
    </w:lvl>
  </w:abstractNum>
  <w:abstractNum w:abstractNumId="1" w15:restartNumberingAfterBreak="0">
    <w:nsid w:val="1B1F486D"/>
    <w:multiLevelType w:val="hybridMultilevel"/>
    <w:tmpl w:val="FFFFFFFF"/>
    <w:lvl w:ilvl="0" w:tplc="642C6104">
      <w:start w:val="1"/>
      <w:numFmt w:val="bullet"/>
      <w:lvlText w:val=""/>
      <w:lvlJc w:val="left"/>
      <w:pPr>
        <w:ind w:left="720" w:hanging="360"/>
      </w:pPr>
      <w:rPr>
        <w:rFonts w:ascii="Symbol" w:eastAsia="Symbol" w:hAnsi="Symbol" w:cs="Symbol"/>
      </w:rPr>
    </w:lvl>
    <w:lvl w:ilvl="1" w:tplc="590237C6">
      <w:start w:val="1"/>
      <w:numFmt w:val="bullet"/>
      <w:lvlText w:val="o"/>
      <w:lvlJc w:val="left"/>
      <w:pPr>
        <w:ind w:left="1440" w:hanging="360"/>
      </w:pPr>
      <w:rPr>
        <w:rFonts w:ascii="Courier New" w:eastAsia="Courier New" w:hAnsi="Courier New" w:cs="Courier New"/>
      </w:rPr>
    </w:lvl>
    <w:lvl w:ilvl="2" w:tplc="15C0BAA6">
      <w:start w:val="1"/>
      <w:numFmt w:val="bullet"/>
      <w:lvlText w:val=""/>
      <w:lvlJc w:val="left"/>
      <w:pPr>
        <w:ind w:left="2160" w:hanging="360"/>
      </w:pPr>
      <w:rPr>
        <w:rFonts w:ascii="Wingdings" w:eastAsia="Wingdings" w:hAnsi="Wingdings" w:cs="Wingdings"/>
      </w:rPr>
    </w:lvl>
    <w:lvl w:ilvl="3" w:tplc="E8F6A574">
      <w:start w:val="1"/>
      <w:numFmt w:val="bullet"/>
      <w:lvlText w:val=""/>
      <w:lvlJc w:val="left"/>
      <w:pPr>
        <w:ind w:left="2880" w:hanging="360"/>
      </w:pPr>
      <w:rPr>
        <w:rFonts w:ascii="Symbol" w:eastAsia="Symbol" w:hAnsi="Symbol" w:cs="Symbol"/>
      </w:rPr>
    </w:lvl>
    <w:lvl w:ilvl="4" w:tplc="F67EE764">
      <w:start w:val="1"/>
      <w:numFmt w:val="bullet"/>
      <w:lvlText w:val="o"/>
      <w:lvlJc w:val="left"/>
      <w:pPr>
        <w:ind w:left="3600" w:hanging="360"/>
      </w:pPr>
      <w:rPr>
        <w:rFonts w:ascii="Courier New" w:eastAsia="Courier New" w:hAnsi="Courier New" w:cs="Courier New"/>
      </w:rPr>
    </w:lvl>
    <w:lvl w:ilvl="5" w:tplc="A2F66246">
      <w:start w:val="1"/>
      <w:numFmt w:val="bullet"/>
      <w:lvlText w:val=""/>
      <w:lvlJc w:val="left"/>
      <w:pPr>
        <w:ind w:left="4320" w:hanging="360"/>
      </w:pPr>
      <w:rPr>
        <w:rFonts w:ascii="Wingdings" w:eastAsia="Wingdings" w:hAnsi="Wingdings" w:cs="Wingdings"/>
      </w:rPr>
    </w:lvl>
    <w:lvl w:ilvl="6" w:tplc="88E07632">
      <w:start w:val="1"/>
      <w:numFmt w:val="bullet"/>
      <w:lvlText w:val=""/>
      <w:lvlJc w:val="left"/>
      <w:pPr>
        <w:ind w:left="5040" w:hanging="360"/>
      </w:pPr>
      <w:rPr>
        <w:rFonts w:ascii="Symbol" w:eastAsia="Symbol" w:hAnsi="Symbol" w:cs="Symbol"/>
      </w:rPr>
    </w:lvl>
    <w:lvl w:ilvl="7" w:tplc="DDF20BF4">
      <w:start w:val="1"/>
      <w:numFmt w:val="bullet"/>
      <w:lvlText w:val="o"/>
      <w:lvlJc w:val="left"/>
      <w:pPr>
        <w:ind w:left="5760" w:hanging="360"/>
      </w:pPr>
      <w:rPr>
        <w:rFonts w:ascii="Courier New" w:eastAsia="Courier New" w:hAnsi="Courier New" w:cs="Courier New"/>
      </w:rPr>
    </w:lvl>
    <w:lvl w:ilvl="8" w:tplc="F61AD074">
      <w:start w:val="1"/>
      <w:numFmt w:val="bullet"/>
      <w:lvlText w:val=""/>
      <w:lvlJc w:val="left"/>
      <w:pPr>
        <w:ind w:left="6480" w:hanging="360"/>
      </w:pPr>
      <w:rPr>
        <w:rFonts w:ascii="Wingdings" w:eastAsia="Wingdings" w:hAnsi="Wingdings" w:cs="Wingdings"/>
      </w:rPr>
    </w:lvl>
  </w:abstractNum>
  <w:abstractNum w:abstractNumId="2" w15:restartNumberingAfterBreak="0">
    <w:nsid w:val="36738C66"/>
    <w:multiLevelType w:val="hybridMultilevel"/>
    <w:tmpl w:val="FFFFFFFF"/>
    <w:lvl w:ilvl="0" w:tplc="5F803B1C">
      <w:start w:val="1"/>
      <w:numFmt w:val="bullet"/>
      <w:lvlText w:val=""/>
      <w:lvlJc w:val="left"/>
      <w:pPr>
        <w:ind w:left="720" w:hanging="360"/>
      </w:pPr>
      <w:rPr>
        <w:rFonts w:ascii="Symbol" w:eastAsia="Symbol" w:hAnsi="Symbol" w:cs="Symbol"/>
      </w:rPr>
    </w:lvl>
    <w:lvl w:ilvl="1" w:tplc="100E35F0">
      <w:start w:val="1"/>
      <w:numFmt w:val="bullet"/>
      <w:lvlText w:val="o"/>
      <w:lvlJc w:val="left"/>
      <w:pPr>
        <w:ind w:left="1440" w:hanging="360"/>
      </w:pPr>
      <w:rPr>
        <w:rFonts w:ascii="Courier New" w:eastAsia="Courier New" w:hAnsi="Courier New" w:cs="Courier New"/>
      </w:rPr>
    </w:lvl>
    <w:lvl w:ilvl="2" w:tplc="ACF82756">
      <w:start w:val="1"/>
      <w:numFmt w:val="bullet"/>
      <w:lvlText w:val=""/>
      <w:lvlJc w:val="left"/>
      <w:pPr>
        <w:ind w:left="2160" w:hanging="360"/>
      </w:pPr>
      <w:rPr>
        <w:rFonts w:ascii="Wingdings" w:eastAsia="Wingdings" w:hAnsi="Wingdings" w:cs="Wingdings"/>
      </w:rPr>
    </w:lvl>
    <w:lvl w:ilvl="3" w:tplc="58729CB4">
      <w:start w:val="1"/>
      <w:numFmt w:val="bullet"/>
      <w:lvlText w:val=""/>
      <w:lvlJc w:val="left"/>
      <w:pPr>
        <w:ind w:left="2880" w:hanging="360"/>
      </w:pPr>
      <w:rPr>
        <w:rFonts w:ascii="Symbol" w:eastAsia="Symbol" w:hAnsi="Symbol" w:cs="Symbol"/>
      </w:rPr>
    </w:lvl>
    <w:lvl w:ilvl="4" w:tplc="44A26398">
      <w:start w:val="1"/>
      <w:numFmt w:val="bullet"/>
      <w:lvlText w:val="o"/>
      <w:lvlJc w:val="left"/>
      <w:pPr>
        <w:ind w:left="3600" w:hanging="360"/>
      </w:pPr>
      <w:rPr>
        <w:rFonts w:ascii="Courier New" w:eastAsia="Courier New" w:hAnsi="Courier New" w:cs="Courier New"/>
      </w:rPr>
    </w:lvl>
    <w:lvl w:ilvl="5" w:tplc="1CE03A5A">
      <w:start w:val="1"/>
      <w:numFmt w:val="bullet"/>
      <w:lvlText w:val=""/>
      <w:lvlJc w:val="left"/>
      <w:pPr>
        <w:ind w:left="4320" w:hanging="360"/>
      </w:pPr>
      <w:rPr>
        <w:rFonts w:ascii="Wingdings" w:eastAsia="Wingdings" w:hAnsi="Wingdings" w:cs="Wingdings"/>
      </w:rPr>
    </w:lvl>
    <w:lvl w:ilvl="6" w:tplc="F4E0C5C0">
      <w:start w:val="1"/>
      <w:numFmt w:val="bullet"/>
      <w:lvlText w:val=""/>
      <w:lvlJc w:val="left"/>
      <w:pPr>
        <w:ind w:left="5040" w:hanging="360"/>
      </w:pPr>
      <w:rPr>
        <w:rFonts w:ascii="Symbol" w:eastAsia="Symbol" w:hAnsi="Symbol" w:cs="Symbol"/>
      </w:rPr>
    </w:lvl>
    <w:lvl w:ilvl="7" w:tplc="CAC0A844">
      <w:start w:val="1"/>
      <w:numFmt w:val="bullet"/>
      <w:lvlText w:val="o"/>
      <w:lvlJc w:val="left"/>
      <w:pPr>
        <w:ind w:left="5760" w:hanging="360"/>
      </w:pPr>
      <w:rPr>
        <w:rFonts w:ascii="Courier New" w:eastAsia="Courier New" w:hAnsi="Courier New" w:cs="Courier New"/>
      </w:rPr>
    </w:lvl>
    <w:lvl w:ilvl="8" w:tplc="D8828992">
      <w:start w:val="1"/>
      <w:numFmt w:val="bullet"/>
      <w:lvlText w:val=""/>
      <w:lvlJc w:val="left"/>
      <w:pPr>
        <w:ind w:left="6480" w:hanging="360"/>
      </w:pPr>
      <w:rPr>
        <w:rFonts w:ascii="Wingdings" w:eastAsia="Wingdings" w:hAnsi="Wingdings" w:cs="Wingdings"/>
      </w:rPr>
    </w:lvl>
  </w:abstractNum>
  <w:abstractNum w:abstractNumId="3" w15:restartNumberingAfterBreak="0">
    <w:nsid w:val="3F93C1BC"/>
    <w:multiLevelType w:val="hybridMultilevel"/>
    <w:tmpl w:val="FFFFFFFF"/>
    <w:lvl w:ilvl="0" w:tplc="ED08D0A2">
      <w:start w:val="1"/>
      <w:numFmt w:val="bullet"/>
      <w:lvlText w:val=""/>
      <w:lvlJc w:val="left"/>
      <w:pPr>
        <w:ind w:left="720" w:hanging="360"/>
      </w:pPr>
      <w:rPr>
        <w:rFonts w:ascii="Symbol" w:eastAsia="Symbol" w:hAnsi="Symbol" w:cs="Symbol"/>
      </w:rPr>
    </w:lvl>
    <w:lvl w:ilvl="1" w:tplc="7B68C4A4">
      <w:start w:val="1"/>
      <w:numFmt w:val="bullet"/>
      <w:lvlText w:val="o"/>
      <w:lvlJc w:val="left"/>
      <w:pPr>
        <w:ind w:left="1440" w:hanging="360"/>
      </w:pPr>
      <w:rPr>
        <w:rFonts w:ascii="Courier New" w:eastAsia="Courier New" w:hAnsi="Courier New" w:cs="Courier New"/>
      </w:rPr>
    </w:lvl>
    <w:lvl w:ilvl="2" w:tplc="7706AE74">
      <w:start w:val="1"/>
      <w:numFmt w:val="bullet"/>
      <w:lvlText w:val=""/>
      <w:lvlJc w:val="left"/>
      <w:pPr>
        <w:ind w:left="2160" w:hanging="360"/>
      </w:pPr>
      <w:rPr>
        <w:rFonts w:ascii="Wingdings" w:eastAsia="Wingdings" w:hAnsi="Wingdings" w:cs="Wingdings"/>
      </w:rPr>
    </w:lvl>
    <w:lvl w:ilvl="3" w:tplc="1A64C0BE">
      <w:start w:val="1"/>
      <w:numFmt w:val="bullet"/>
      <w:lvlText w:val=""/>
      <w:lvlJc w:val="left"/>
      <w:pPr>
        <w:ind w:left="2880" w:hanging="360"/>
      </w:pPr>
      <w:rPr>
        <w:rFonts w:ascii="Symbol" w:eastAsia="Symbol" w:hAnsi="Symbol" w:cs="Symbol"/>
      </w:rPr>
    </w:lvl>
    <w:lvl w:ilvl="4" w:tplc="B7F81BCC">
      <w:start w:val="1"/>
      <w:numFmt w:val="bullet"/>
      <w:lvlText w:val="o"/>
      <w:lvlJc w:val="left"/>
      <w:pPr>
        <w:ind w:left="3600" w:hanging="360"/>
      </w:pPr>
      <w:rPr>
        <w:rFonts w:ascii="Courier New" w:eastAsia="Courier New" w:hAnsi="Courier New" w:cs="Courier New"/>
      </w:rPr>
    </w:lvl>
    <w:lvl w:ilvl="5" w:tplc="E25449CA">
      <w:start w:val="1"/>
      <w:numFmt w:val="bullet"/>
      <w:lvlText w:val=""/>
      <w:lvlJc w:val="left"/>
      <w:pPr>
        <w:ind w:left="4320" w:hanging="360"/>
      </w:pPr>
      <w:rPr>
        <w:rFonts w:ascii="Wingdings" w:eastAsia="Wingdings" w:hAnsi="Wingdings" w:cs="Wingdings"/>
      </w:rPr>
    </w:lvl>
    <w:lvl w:ilvl="6" w:tplc="352EA9E4">
      <w:start w:val="1"/>
      <w:numFmt w:val="bullet"/>
      <w:lvlText w:val=""/>
      <w:lvlJc w:val="left"/>
      <w:pPr>
        <w:ind w:left="5040" w:hanging="360"/>
      </w:pPr>
      <w:rPr>
        <w:rFonts w:ascii="Symbol" w:eastAsia="Symbol" w:hAnsi="Symbol" w:cs="Symbol"/>
      </w:rPr>
    </w:lvl>
    <w:lvl w:ilvl="7" w:tplc="3A621FAC">
      <w:start w:val="1"/>
      <w:numFmt w:val="bullet"/>
      <w:lvlText w:val="o"/>
      <w:lvlJc w:val="left"/>
      <w:pPr>
        <w:ind w:left="5760" w:hanging="360"/>
      </w:pPr>
      <w:rPr>
        <w:rFonts w:ascii="Courier New" w:eastAsia="Courier New" w:hAnsi="Courier New" w:cs="Courier New"/>
      </w:rPr>
    </w:lvl>
    <w:lvl w:ilvl="8" w:tplc="54E08A24">
      <w:start w:val="1"/>
      <w:numFmt w:val="bullet"/>
      <w:lvlText w:val=""/>
      <w:lvlJc w:val="left"/>
      <w:pPr>
        <w:ind w:left="6480" w:hanging="360"/>
      </w:pPr>
      <w:rPr>
        <w:rFonts w:ascii="Wingdings" w:eastAsia="Wingdings" w:hAnsi="Wingdings" w:cs="Wingdings"/>
      </w:rPr>
    </w:lvl>
  </w:abstractNum>
  <w:abstractNum w:abstractNumId="4" w15:restartNumberingAfterBreak="0">
    <w:nsid w:val="4A92FFE6"/>
    <w:multiLevelType w:val="hybridMultilevel"/>
    <w:tmpl w:val="FFFFFFFF"/>
    <w:lvl w:ilvl="0" w:tplc="11DA33CE">
      <w:start w:val="1"/>
      <w:numFmt w:val="bullet"/>
      <w:lvlText w:val=""/>
      <w:lvlJc w:val="left"/>
      <w:pPr>
        <w:ind w:left="720" w:hanging="360"/>
      </w:pPr>
      <w:rPr>
        <w:rFonts w:ascii="Symbol" w:eastAsia="Symbol" w:hAnsi="Symbol" w:cs="Symbol"/>
      </w:rPr>
    </w:lvl>
    <w:lvl w:ilvl="1" w:tplc="DD161940">
      <w:start w:val="1"/>
      <w:numFmt w:val="bullet"/>
      <w:lvlText w:val="o"/>
      <w:lvlJc w:val="left"/>
      <w:pPr>
        <w:ind w:left="1440" w:hanging="360"/>
      </w:pPr>
      <w:rPr>
        <w:rFonts w:ascii="Courier New" w:eastAsia="Courier New" w:hAnsi="Courier New" w:cs="Courier New"/>
      </w:rPr>
    </w:lvl>
    <w:lvl w:ilvl="2" w:tplc="F7CE3B3C">
      <w:start w:val="1"/>
      <w:numFmt w:val="bullet"/>
      <w:lvlText w:val=""/>
      <w:lvlJc w:val="left"/>
      <w:pPr>
        <w:ind w:left="2160" w:hanging="360"/>
      </w:pPr>
      <w:rPr>
        <w:rFonts w:ascii="Wingdings" w:eastAsia="Wingdings" w:hAnsi="Wingdings" w:cs="Wingdings"/>
      </w:rPr>
    </w:lvl>
    <w:lvl w:ilvl="3" w:tplc="D22699EA">
      <w:start w:val="1"/>
      <w:numFmt w:val="bullet"/>
      <w:lvlText w:val=""/>
      <w:lvlJc w:val="left"/>
      <w:pPr>
        <w:ind w:left="2880" w:hanging="360"/>
      </w:pPr>
      <w:rPr>
        <w:rFonts w:ascii="Symbol" w:eastAsia="Symbol" w:hAnsi="Symbol" w:cs="Symbol"/>
      </w:rPr>
    </w:lvl>
    <w:lvl w:ilvl="4" w:tplc="254084AE">
      <w:start w:val="1"/>
      <w:numFmt w:val="bullet"/>
      <w:lvlText w:val="o"/>
      <w:lvlJc w:val="left"/>
      <w:pPr>
        <w:ind w:left="3600" w:hanging="360"/>
      </w:pPr>
      <w:rPr>
        <w:rFonts w:ascii="Courier New" w:eastAsia="Courier New" w:hAnsi="Courier New" w:cs="Courier New"/>
      </w:rPr>
    </w:lvl>
    <w:lvl w:ilvl="5" w:tplc="B15823AC">
      <w:start w:val="1"/>
      <w:numFmt w:val="bullet"/>
      <w:lvlText w:val=""/>
      <w:lvlJc w:val="left"/>
      <w:pPr>
        <w:ind w:left="4320" w:hanging="360"/>
      </w:pPr>
      <w:rPr>
        <w:rFonts w:ascii="Wingdings" w:eastAsia="Wingdings" w:hAnsi="Wingdings" w:cs="Wingdings"/>
      </w:rPr>
    </w:lvl>
    <w:lvl w:ilvl="6" w:tplc="E168F714">
      <w:start w:val="1"/>
      <w:numFmt w:val="bullet"/>
      <w:lvlText w:val=""/>
      <w:lvlJc w:val="left"/>
      <w:pPr>
        <w:ind w:left="5040" w:hanging="360"/>
      </w:pPr>
      <w:rPr>
        <w:rFonts w:ascii="Symbol" w:eastAsia="Symbol" w:hAnsi="Symbol" w:cs="Symbol"/>
      </w:rPr>
    </w:lvl>
    <w:lvl w:ilvl="7" w:tplc="83C25348">
      <w:start w:val="1"/>
      <w:numFmt w:val="bullet"/>
      <w:lvlText w:val="o"/>
      <w:lvlJc w:val="left"/>
      <w:pPr>
        <w:ind w:left="5760" w:hanging="360"/>
      </w:pPr>
      <w:rPr>
        <w:rFonts w:ascii="Courier New" w:eastAsia="Courier New" w:hAnsi="Courier New" w:cs="Courier New"/>
      </w:rPr>
    </w:lvl>
    <w:lvl w:ilvl="8" w:tplc="6AF83680">
      <w:start w:val="1"/>
      <w:numFmt w:val="bullet"/>
      <w:lvlText w:val=""/>
      <w:lvlJc w:val="left"/>
      <w:pPr>
        <w:ind w:left="6480" w:hanging="360"/>
      </w:pPr>
      <w:rPr>
        <w:rFonts w:ascii="Wingdings" w:eastAsia="Wingdings" w:hAnsi="Wingdings" w:cs="Wingdings"/>
      </w:rPr>
    </w:lvl>
  </w:abstractNum>
  <w:abstractNum w:abstractNumId="5" w15:restartNumberingAfterBreak="0">
    <w:nsid w:val="57B119DE"/>
    <w:multiLevelType w:val="hybridMultilevel"/>
    <w:tmpl w:val="FFFFFFFF"/>
    <w:lvl w:ilvl="0" w:tplc="0FDA8EF4">
      <w:start w:val="1"/>
      <w:numFmt w:val="bullet"/>
      <w:lvlText w:val=""/>
      <w:lvlJc w:val="left"/>
      <w:pPr>
        <w:ind w:left="720" w:hanging="360"/>
      </w:pPr>
      <w:rPr>
        <w:rFonts w:ascii="Symbol" w:eastAsia="Symbol" w:hAnsi="Symbol" w:cs="Symbol"/>
      </w:rPr>
    </w:lvl>
    <w:lvl w:ilvl="1" w:tplc="BA12D036">
      <w:start w:val="1"/>
      <w:numFmt w:val="bullet"/>
      <w:lvlText w:val="o"/>
      <w:lvlJc w:val="left"/>
      <w:pPr>
        <w:ind w:left="1440" w:hanging="360"/>
      </w:pPr>
      <w:rPr>
        <w:rFonts w:ascii="Courier New" w:eastAsia="Courier New" w:hAnsi="Courier New" w:cs="Courier New"/>
      </w:rPr>
    </w:lvl>
    <w:lvl w:ilvl="2" w:tplc="4CCA3722">
      <w:start w:val="1"/>
      <w:numFmt w:val="bullet"/>
      <w:lvlText w:val=""/>
      <w:lvlJc w:val="left"/>
      <w:pPr>
        <w:ind w:left="2160" w:hanging="360"/>
      </w:pPr>
      <w:rPr>
        <w:rFonts w:ascii="Wingdings" w:eastAsia="Wingdings" w:hAnsi="Wingdings" w:cs="Wingdings"/>
      </w:rPr>
    </w:lvl>
    <w:lvl w:ilvl="3" w:tplc="7D4434B4">
      <w:start w:val="1"/>
      <w:numFmt w:val="bullet"/>
      <w:lvlText w:val=""/>
      <w:lvlJc w:val="left"/>
      <w:pPr>
        <w:ind w:left="2880" w:hanging="360"/>
      </w:pPr>
      <w:rPr>
        <w:rFonts w:ascii="Symbol" w:eastAsia="Symbol" w:hAnsi="Symbol" w:cs="Symbol"/>
      </w:rPr>
    </w:lvl>
    <w:lvl w:ilvl="4" w:tplc="3D14B0AA">
      <w:start w:val="1"/>
      <w:numFmt w:val="bullet"/>
      <w:lvlText w:val="o"/>
      <w:lvlJc w:val="left"/>
      <w:pPr>
        <w:ind w:left="3600" w:hanging="360"/>
      </w:pPr>
      <w:rPr>
        <w:rFonts w:ascii="Courier New" w:eastAsia="Courier New" w:hAnsi="Courier New" w:cs="Courier New"/>
      </w:rPr>
    </w:lvl>
    <w:lvl w:ilvl="5" w:tplc="EF8448D2">
      <w:start w:val="1"/>
      <w:numFmt w:val="bullet"/>
      <w:lvlText w:val=""/>
      <w:lvlJc w:val="left"/>
      <w:pPr>
        <w:ind w:left="4320" w:hanging="360"/>
      </w:pPr>
      <w:rPr>
        <w:rFonts w:ascii="Wingdings" w:eastAsia="Wingdings" w:hAnsi="Wingdings" w:cs="Wingdings"/>
      </w:rPr>
    </w:lvl>
    <w:lvl w:ilvl="6" w:tplc="302E9AF2">
      <w:start w:val="1"/>
      <w:numFmt w:val="bullet"/>
      <w:lvlText w:val=""/>
      <w:lvlJc w:val="left"/>
      <w:pPr>
        <w:ind w:left="5040" w:hanging="360"/>
      </w:pPr>
      <w:rPr>
        <w:rFonts w:ascii="Symbol" w:eastAsia="Symbol" w:hAnsi="Symbol" w:cs="Symbol"/>
      </w:rPr>
    </w:lvl>
    <w:lvl w:ilvl="7" w:tplc="D65070FE">
      <w:start w:val="1"/>
      <w:numFmt w:val="bullet"/>
      <w:lvlText w:val="o"/>
      <w:lvlJc w:val="left"/>
      <w:pPr>
        <w:ind w:left="5760" w:hanging="360"/>
      </w:pPr>
      <w:rPr>
        <w:rFonts w:ascii="Courier New" w:eastAsia="Courier New" w:hAnsi="Courier New" w:cs="Courier New"/>
      </w:rPr>
    </w:lvl>
    <w:lvl w:ilvl="8" w:tplc="24064196">
      <w:start w:val="1"/>
      <w:numFmt w:val="bullet"/>
      <w:lvlText w:val=""/>
      <w:lvlJc w:val="left"/>
      <w:pPr>
        <w:ind w:left="6480" w:hanging="360"/>
      </w:pPr>
      <w:rPr>
        <w:rFonts w:ascii="Wingdings" w:eastAsia="Wingdings" w:hAnsi="Wingdings" w:cs="Wingdings"/>
      </w:rPr>
    </w:lvl>
  </w:abstractNum>
  <w:abstractNum w:abstractNumId="6" w15:restartNumberingAfterBreak="0">
    <w:nsid w:val="6936C223"/>
    <w:multiLevelType w:val="hybridMultilevel"/>
    <w:tmpl w:val="FFFFFFFF"/>
    <w:lvl w:ilvl="0" w:tplc="7B8082F2">
      <w:start w:val="1"/>
      <w:numFmt w:val="bullet"/>
      <w:lvlText w:val=""/>
      <w:lvlJc w:val="left"/>
      <w:pPr>
        <w:ind w:left="720" w:hanging="360"/>
      </w:pPr>
      <w:rPr>
        <w:rFonts w:ascii="Symbol" w:eastAsia="Symbol" w:hAnsi="Symbol" w:cs="Symbol"/>
      </w:rPr>
    </w:lvl>
    <w:lvl w:ilvl="1" w:tplc="EA6E1DD0">
      <w:start w:val="1"/>
      <w:numFmt w:val="bullet"/>
      <w:lvlText w:val="o"/>
      <w:lvlJc w:val="left"/>
      <w:pPr>
        <w:ind w:left="1440" w:hanging="360"/>
      </w:pPr>
      <w:rPr>
        <w:rFonts w:ascii="Courier New" w:eastAsia="Courier New" w:hAnsi="Courier New" w:cs="Courier New"/>
      </w:rPr>
    </w:lvl>
    <w:lvl w:ilvl="2" w:tplc="1E90FCFE">
      <w:start w:val="1"/>
      <w:numFmt w:val="bullet"/>
      <w:lvlText w:val=""/>
      <w:lvlJc w:val="left"/>
      <w:pPr>
        <w:ind w:left="2160" w:hanging="360"/>
      </w:pPr>
      <w:rPr>
        <w:rFonts w:ascii="Wingdings" w:eastAsia="Wingdings" w:hAnsi="Wingdings" w:cs="Wingdings"/>
      </w:rPr>
    </w:lvl>
    <w:lvl w:ilvl="3" w:tplc="4D5E7FEE">
      <w:start w:val="1"/>
      <w:numFmt w:val="bullet"/>
      <w:lvlText w:val=""/>
      <w:lvlJc w:val="left"/>
      <w:pPr>
        <w:ind w:left="2880" w:hanging="360"/>
      </w:pPr>
      <w:rPr>
        <w:rFonts w:ascii="Symbol" w:eastAsia="Symbol" w:hAnsi="Symbol" w:cs="Symbol"/>
      </w:rPr>
    </w:lvl>
    <w:lvl w:ilvl="4" w:tplc="5F8634D4">
      <w:start w:val="1"/>
      <w:numFmt w:val="bullet"/>
      <w:lvlText w:val="o"/>
      <w:lvlJc w:val="left"/>
      <w:pPr>
        <w:ind w:left="3600" w:hanging="360"/>
      </w:pPr>
      <w:rPr>
        <w:rFonts w:ascii="Courier New" w:eastAsia="Courier New" w:hAnsi="Courier New" w:cs="Courier New"/>
      </w:rPr>
    </w:lvl>
    <w:lvl w:ilvl="5" w:tplc="2A36B98C">
      <w:start w:val="1"/>
      <w:numFmt w:val="bullet"/>
      <w:lvlText w:val=""/>
      <w:lvlJc w:val="left"/>
      <w:pPr>
        <w:ind w:left="4320" w:hanging="360"/>
      </w:pPr>
      <w:rPr>
        <w:rFonts w:ascii="Wingdings" w:eastAsia="Wingdings" w:hAnsi="Wingdings" w:cs="Wingdings"/>
      </w:rPr>
    </w:lvl>
    <w:lvl w:ilvl="6" w:tplc="DB526E50">
      <w:start w:val="1"/>
      <w:numFmt w:val="bullet"/>
      <w:lvlText w:val=""/>
      <w:lvlJc w:val="left"/>
      <w:pPr>
        <w:ind w:left="5040" w:hanging="360"/>
      </w:pPr>
      <w:rPr>
        <w:rFonts w:ascii="Symbol" w:eastAsia="Symbol" w:hAnsi="Symbol" w:cs="Symbol"/>
      </w:rPr>
    </w:lvl>
    <w:lvl w:ilvl="7" w:tplc="4AE46CF0">
      <w:start w:val="1"/>
      <w:numFmt w:val="bullet"/>
      <w:lvlText w:val="o"/>
      <w:lvlJc w:val="left"/>
      <w:pPr>
        <w:ind w:left="5760" w:hanging="360"/>
      </w:pPr>
      <w:rPr>
        <w:rFonts w:ascii="Courier New" w:eastAsia="Courier New" w:hAnsi="Courier New" w:cs="Courier New"/>
      </w:rPr>
    </w:lvl>
    <w:lvl w:ilvl="8" w:tplc="B9882CDA">
      <w:start w:val="1"/>
      <w:numFmt w:val="bullet"/>
      <w:lvlText w:val=""/>
      <w:lvlJc w:val="left"/>
      <w:pPr>
        <w:ind w:left="6480" w:hanging="360"/>
      </w:pPr>
      <w:rPr>
        <w:rFonts w:ascii="Wingdings" w:eastAsia="Wingdings" w:hAnsi="Wingdings" w:cs="Wingdings"/>
      </w:rPr>
    </w:lvl>
  </w:abstractNum>
  <w:num w:numId="1" w16cid:durableId="1469207969">
    <w:abstractNumId w:val="0"/>
    <w:lvlOverride w:ilvl="0">
      <w:startOverride w:val="1"/>
    </w:lvlOverride>
  </w:num>
  <w:num w:numId="2" w16cid:durableId="1835608511">
    <w:abstractNumId w:val="1"/>
  </w:num>
  <w:num w:numId="3" w16cid:durableId="1434129259">
    <w:abstractNumId w:val="6"/>
  </w:num>
  <w:num w:numId="4" w16cid:durableId="1151949988">
    <w:abstractNumId w:val="4"/>
  </w:num>
  <w:num w:numId="5" w16cid:durableId="543373847">
    <w:abstractNumId w:val="3"/>
  </w:num>
  <w:num w:numId="6" w16cid:durableId="1834176319">
    <w:abstractNumId w:val="2"/>
  </w:num>
  <w:num w:numId="7" w16cid:durableId="556629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C4B56"/>
    <w:rsid w:val="00675E53"/>
    <w:rsid w:val="00B80895"/>
    <w:rsid w:val="00C3081D"/>
    <w:rsid w:val="2DFC4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512172"/>
  <w15:docId w15:val="{7C8083C8-0722-49EE-B85B-0A3AB261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Footer">
    <w:name w:val="footer"/>
    <w:basedOn w:val="Normal"/>
    <w:link w:val="FooterChar"/>
    <w:uiPriority w:val="99"/>
    <w:unhideWhenUsed/>
    <w:rsid w:val="0067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www.oracle.com/news/" TargetMode="External"/><Relationship Id="rId21" Type="http://schemas.openxmlformats.org/officeDocument/2006/relationships/hyperlink" Target="https://www.postgresql.org/about/newsarchive/" TargetMode="External"/><Relationship Id="rId42" Type="http://schemas.openxmlformats.org/officeDocument/2006/relationships/hyperlink" Target="https://techcommunity.microsoft.com/blog/sqlserver/sql-server-2025-is-now-generally-available/4470570" TargetMode="External"/><Relationship Id="rId47" Type="http://schemas.openxmlformats.org/officeDocument/2006/relationships/hyperlink" Target="https://techcommunity.microsoft.com/t5/s/gxcuf89792/rss/board?board.id=SQLServer" TargetMode="External"/><Relationship Id="rId63" Type="http://schemas.openxmlformats.org/officeDocument/2006/relationships/hyperlink" Target="https://techcommunity.microsoft.com/blog/sqlserver/sql-server-2025-is-now-generally-available/4470570" TargetMode="External"/><Relationship Id="rId68" Type="http://schemas.openxmlformats.org/officeDocument/2006/relationships/hyperlink" Target="https://blogs.oracle.com/mysql/celebrating-30-years-of-mysql-a-global-recap-of-events-in-2025" TargetMode="External"/><Relationship Id="rId84" Type="http://schemas.openxmlformats.org/officeDocument/2006/relationships/hyperlink" Target="https://mariadb.com/resources/blog/mariadb-enterprise-server-q4-2025-maintenance-releases-with-backported-features/" TargetMode="External"/><Relationship Id="rId89" Type="http://schemas.openxmlformats.org/officeDocument/2006/relationships/hyperlink" Target="https://mariadb.com/resources/blog/mariadb-enterprise-server-q4-2025-maintenance-releases-with-backported-features/" TargetMode="External"/><Relationship Id="rId16" Type="http://schemas.openxmlformats.org/officeDocument/2006/relationships/hyperlink" Target="https://mariadb.com/resources/blog/mariadb-enterprise-server-q4-2025-maintenance-releases-with-backported-features/" TargetMode="External"/><Relationship Id="rId11" Type="http://schemas.openxmlformats.org/officeDocument/2006/relationships/hyperlink" Target="https://docs.oracle.com/en-us/iaas/mysql-database/doc/mysql-server-versions.html" TargetMode="External"/><Relationship Id="rId32" Type="http://schemas.openxmlformats.org/officeDocument/2006/relationships/hyperlink" Target="https://blogs.oracle.com/coretec/oracle-database-monthly-news-december-2025-quick-links" TargetMode="External"/><Relationship Id="rId37" Type="http://schemas.openxmlformats.org/officeDocument/2006/relationships/hyperlink" Target="https://www.oracle.com/news/" TargetMode="External"/><Relationship Id="rId53" Type="http://schemas.openxmlformats.org/officeDocument/2006/relationships/hyperlink" Target="https://techcommunity.microsoft.com/t5/s/gxcuf89792/rss/board?board.id=SQLServer" TargetMode="External"/><Relationship Id="rId58" Type="http://schemas.openxmlformats.org/officeDocument/2006/relationships/hyperlink" Target="https://techcommunity.microsoft.com/blog/sqlserver/sql-server-2025-is-now-generally-available/4470570" TargetMode="External"/><Relationship Id="rId74" Type="http://schemas.openxmlformats.org/officeDocument/2006/relationships/hyperlink" Target="https://mariadb.com/resources/blog/mariadb-enterprise-server-q4-2025-maintenance-releases-with-backported-features/" TargetMode="External"/><Relationship Id="rId79" Type="http://schemas.openxmlformats.org/officeDocument/2006/relationships/hyperlink" Target="https://mariadb.com/resources/blog/mariadb-enterprise-server-q4-2025-maintenance-releases-with-backported-features/" TargetMode="External"/><Relationship Id="rId5" Type="http://schemas.openxmlformats.org/officeDocument/2006/relationships/hyperlink" Target="https://blogs.oracle.com/coretec/oracle-database-monthly-news-december-2025-quick-links" TargetMode="External"/><Relationship Id="rId90" Type="http://schemas.openxmlformats.org/officeDocument/2006/relationships/hyperlink" Target="https://www.postgresql.org/about/newsarchive/" TargetMode="External"/><Relationship Id="rId95" Type="http://schemas.openxmlformats.org/officeDocument/2006/relationships/hyperlink" Target="https://www.postgresql.org/about/newsarchive/" TargetMode="External"/><Relationship Id="rId22" Type="http://schemas.openxmlformats.org/officeDocument/2006/relationships/hyperlink" Target="https://www.postgresql.org/about/newsarchive/" TargetMode="External"/><Relationship Id="rId27" Type="http://schemas.openxmlformats.org/officeDocument/2006/relationships/hyperlink" Target="https://www.oracle.com/news/" TargetMode="External"/><Relationship Id="rId43" Type="http://schemas.openxmlformats.org/officeDocument/2006/relationships/hyperlink" Target="https://techcommunity.microsoft.com/blog/azuresqlblog/2025-year-in-review-what%E2%80%99s-new-across-sql-server-azure-sql-and-sql-database-in-f/4477514" TargetMode="External"/><Relationship Id="rId48" Type="http://schemas.openxmlformats.org/officeDocument/2006/relationships/hyperlink" Target="https://techcommunity.microsoft.com/blog/sqlserver/sql-server-2025-is-now-generally-available/4470570" TargetMode="External"/><Relationship Id="rId64" Type="http://schemas.openxmlformats.org/officeDocument/2006/relationships/hyperlink" Target="https://techcommunity.microsoft.com/blog/sqlserver/sql-server-2025-is-now-generally-available/4470570" TargetMode="External"/><Relationship Id="rId69" Type="http://schemas.openxmlformats.org/officeDocument/2006/relationships/hyperlink" Target="https://blogs.oracle.com/mysql/celebrating-30-years-of-mysql-a-global-recap-of-events-in-2025" TargetMode="External"/><Relationship Id="rId80" Type="http://schemas.openxmlformats.org/officeDocument/2006/relationships/hyperlink" Target="https://mariadb.com/resources/blog/mariadb-enterprise-server-q4-2025-maintenance-releases-with-backported-features/" TargetMode="External"/><Relationship Id="rId85" Type="http://schemas.openxmlformats.org/officeDocument/2006/relationships/hyperlink" Target="https://mariadb.com/resources/blog/mariadb-enterprise-server-q4-2025-maintenance-releases-with-backported-features/" TargetMode="External"/><Relationship Id="rId3" Type="http://schemas.openxmlformats.org/officeDocument/2006/relationships/hyperlink" Target="https://blogs.oracle.com/coretec/oracle-database-monthly-news-december-2025-quick-links" TargetMode="External"/><Relationship Id="rId12" Type="http://schemas.openxmlformats.org/officeDocument/2006/relationships/hyperlink" Target="https://blogs.oracle.com/mysql/celebrating-30-years-of-mysql-a-global-recap-of-events-in-2025" TargetMode="External"/><Relationship Id="rId17" Type="http://schemas.openxmlformats.org/officeDocument/2006/relationships/hyperlink" Target="https://mariadb.com/resources/blog/mariadb-enterprise-server-q4-2025-maintenance-releases-with-backported-features/" TargetMode="External"/><Relationship Id="rId25" Type="http://schemas.openxmlformats.org/officeDocument/2006/relationships/hyperlink" Target="https://www.oracle.com/news/" TargetMode="External"/><Relationship Id="rId33" Type="http://schemas.openxmlformats.org/officeDocument/2006/relationships/hyperlink" Target="https://blogs.oracle.com/coretec/oracle-database-monthly-news-december-2025-quick-links" TargetMode="External"/><Relationship Id="rId38" Type="http://schemas.openxmlformats.org/officeDocument/2006/relationships/hyperlink" Target="https://www.oracle.com/news/" TargetMode="External"/><Relationship Id="rId46" Type="http://schemas.openxmlformats.org/officeDocument/2006/relationships/hyperlink" Target="https://techcommunity.microsoft.com/t5/s/gxcuf89792/rss/board?board.id=SQLServer" TargetMode="External"/><Relationship Id="rId59" Type="http://schemas.openxmlformats.org/officeDocument/2006/relationships/hyperlink" Target="https://techcommunity.microsoft.com/blog/sqlserver/sql-server-2025-is-now-generally-available/4470570" TargetMode="External"/><Relationship Id="rId67" Type="http://schemas.openxmlformats.org/officeDocument/2006/relationships/hyperlink" Target="https://blogs.oracle.com/mysql/celebrating-30-years-of-mysql-a-global-recap-of-events-in-2025" TargetMode="External"/><Relationship Id="rId20" Type="http://schemas.openxmlformats.org/officeDocument/2006/relationships/hyperlink" Target="https://mariadb.com/resources/blog/mariadb-enterprise-server-q4-2025-maintenance-releases-with-backported-features/" TargetMode="External"/><Relationship Id="rId41" Type="http://schemas.openxmlformats.org/officeDocument/2006/relationships/hyperlink" Target="https://techcommunity.microsoft.com/blog/sqlserver/sql-server-2025-is-now-generally-available/4470570" TargetMode="External"/><Relationship Id="rId54" Type="http://schemas.openxmlformats.org/officeDocument/2006/relationships/hyperlink" Target="https://techcommunity.microsoft.com/t5/s/gxcuf89792/rss/board?board.id=SQLServer" TargetMode="External"/><Relationship Id="rId62" Type="http://schemas.openxmlformats.org/officeDocument/2006/relationships/hyperlink" Target="https://techcommunity.microsoft.com/blog/sqlserver/sql-server-2025-is-now-generally-available/4470570" TargetMode="External"/><Relationship Id="rId70" Type="http://schemas.openxmlformats.org/officeDocument/2006/relationships/hyperlink" Target="https://blogs.oracle.com/mysql/celebrating-30-years-of-mysql-a-global-recap-of-events-in-2025" TargetMode="External"/><Relationship Id="rId75" Type="http://schemas.openxmlformats.org/officeDocument/2006/relationships/hyperlink" Target="https://mariadb.com/resources/blog/mariadb-enterprise-server-q4-2025-maintenance-releases-with-backported-features/" TargetMode="External"/><Relationship Id="rId83" Type="http://schemas.openxmlformats.org/officeDocument/2006/relationships/hyperlink" Target="https://mariadb.com/resources/blog/mariadb-enterprise-server-q4-2025-maintenance-releases-with-backported-features/" TargetMode="External"/><Relationship Id="rId88" Type="http://schemas.openxmlformats.org/officeDocument/2006/relationships/hyperlink" Target="https://mariadb.com/resources/blog/mariadb-enterprise-server-q4-2025-maintenance-releases-with-backported-features/" TargetMode="External"/><Relationship Id="rId91" Type="http://schemas.openxmlformats.org/officeDocument/2006/relationships/hyperlink" Target="https://www.postgresql.org/about/newsarchive/" TargetMode="External"/><Relationship Id="rId96" Type="http://schemas.openxmlformats.org/officeDocument/2006/relationships/hyperlink" Target="https://www.postgresql.org/about/newsarchive/" TargetMode="External"/><Relationship Id="rId1" Type="http://schemas.openxmlformats.org/officeDocument/2006/relationships/hyperlink" Target="https://www.oracle.com/news/" TargetMode="External"/><Relationship Id="rId6" Type="http://schemas.openxmlformats.org/officeDocument/2006/relationships/hyperlink" Target="https://techcommunity.microsoft.com/blog/sqlserver/sql-server-2025-is-now-generally-available/4470570" TargetMode="External"/><Relationship Id="rId15" Type="http://schemas.openxmlformats.org/officeDocument/2006/relationships/hyperlink" Target="https://mariadb.com/resources/blog/mariadb-enterprise-server-q4-2025-maintenance-releases-with-backported-features/" TargetMode="External"/><Relationship Id="rId23" Type="http://schemas.openxmlformats.org/officeDocument/2006/relationships/hyperlink" Target="https://www.postgresql.org/about/newsarchive/" TargetMode="External"/><Relationship Id="rId28" Type="http://schemas.openxmlformats.org/officeDocument/2006/relationships/hyperlink" Target="https://blogs.oracle.com/coretec/oracle-database-monthly-news-december-2025-quick-links" TargetMode="External"/><Relationship Id="rId36" Type="http://schemas.openxmlformats.org/officeDocument/2006/relationships/hyperlink" Target="https://blogs.oracle.com/coretec/oracle-database-monthly-news-december-2025-quick-links" TargetMode="External"/><Relationship Id="rId49" Type="http://schemas.openxmlformats.org/officeDocument/2006/relationships/hyperlink" Target="https://techcommunity.microsoft.com/t5/s/gxcuf89792/rss/board?board.id=SQLServer" TargetMode="External"/><Relationship Id="rId57" Type="http://schemas.openxmlformats.org/officeDocument/2006/relationships/hyperlink" Target="https://techcommunity.microsoft.com/blog/sqlserver/sql-server-2025-is-now-generally-available/4470570" TargetMode="External"/><Relationship Id="rId10" Type="http://schemas.openxmlformats.org/officeDocument/2006/relationships/hyperlink" Target="https://techcommunity.microsoft.com/blog/sqlserver/sql-server-2025-is-now-generally-available/4470570" TargetMode="External"/><Relationship Id="rId31" Type="http://schemas.openxmlformats.org/officeDocument/2006/relationships/hyperlink" Target="https://blogs.oracle.com/coretec/oracle-database-monthly-news-december-2025-quick-links" TargetMode="External"/><Relationship Id="rId44" Type="http://schemas.openxmlformats.org/officeDocument/2006/relationships/hyperlink" Target="https://techcommunity.microsoft.com/t5/s/gxcuf89792/rss/board?board.id=SQLServer" TargetMode="External"/><Relationship Id="rId52" Type="http://schemas.openxmlformats.org/officeDocument/2006/relationships/hyperlink" Target="https://techcommunity.microsoft.com/t5/s/gxcuf89792/rss/board?board.id=SQLServer" TargetMode="External"/><Relationship Id="rId60" Type="http://schemas.openxmlformats.org/officeDocument/2006/relationships/hyperlink" Target="https://techcommunity.microsoft.com/blog/sqlserver/sql-server-2025-is-now-generally-available/4470570" TargetMode="External"/><Relationship Id="rId65" Type="http://schemas.openxmlformats.org/officeDocument/2006/relationships/hyperlink" Target="https://techcommunity.microsoft.com/blog/sqlserver/sql-server-2025-is-now-generally-available/4470570" TargetMode="External"/><Relationship Id="rId73" Type="http://schemas.openxmlformats.org/officeDocument/2006/relationships/hyperlink" Target="https://docs.oracle.com/en-us/iaas/mysql-database/doc/mysql-server-versions.html" TargetMode="External"/><Relationship Id="rId78" Type="http://schemas.openxmlformats.org/officeDocument/2006/relationships/hyperlink" Target="https://mariadb.com/resources/blog/mariadb-enterprise-server-q4-2025-maintenance-releases-with-backported-features/" TargetMode="External"/><Relationship Id="rId81" Type="http://schemas.openxmlformats.org/officeDocument/2006/relationships/hyperlink" Target="https://mariadb.com/resources/blog/mariadb-enterprise-server-q4-2025-maintenance-releases-with-backported-features/" TargetMode="External"/><Relationship Id="rId86" Type="http://schemas.openxmlformats.org/officeDocument/2006/relationships/hyperlink" Target="https://mariadb.com/resources/blog/mariadb-enterprise-server-q4-2025-maintenance-releases-with-backported-features/" TargetMode="External"/><Relationship Id="rId94" Type="http://schemas.openxmlformats.org/officeDocument/2006/relationships/hyperlink" Target="https://www.postgresql.org/about/newsarchive/" TargetMode="External"/><Relationship Id="rId99" Type="http://schemas.openxmlformats.org/officeDocument/2006/relationships/hyperlink" Target="https://www.postgresql.org/about/newsarchive/" TargetMode="External"/><Relationship Id="rId4" Type="http://schemas.openxmlformats.org/officeDocument/2006/relationships/hyperlink" Target="https://blogs.oracle.com/coretec/oracle-database-monthly-news-december-2025-quick-links" TargetMode="External"/><Relationship Id="rId9" Type="http://schemas.openxmlformats.org/officeDocument/2006/relationships/hyperlink" Target="https://techcommunity.microsoft.com/blog/sqlserver/sql-server-2025-is-now-generally-available/4470570" TargetMode="External"/><Relationship Id="rId13" Type="http://schemas.openxmlformats.org/officeDocument/2006/relationships/hyperlink" Target="https://docs.oracle.com/en-us/iaas/mysql-database/doc/mysql-server-versions.html" TargetMode="External"/><Relationship Id="rId18" Type="http://schemas.openxmlformats.org/officeDocument/2006/relationships/hyperlink" Target="https://mariadb.com/resources/blog/mariadb-enterprise-server-q4-2025-maintenance-releases-with-backported-features/" TargetMode="External"/><Relationship Id="rId39" Type="http://schemas.openxmlformats.org/officeDocument/2006/relationships/hyperlink" Target="https://techcommunity.microsoft.com/blog/azuresqlblog/2025-year-in-review-what%E2%80%99s-new-across-sql-server-azure-sql-and-sql-database-in-f/4477514" TargetMode="External"/><Relationship Id="rId34" Type="http://schemas.openxmlformats.org/officeDocument/2006/relationships/hyperlink" Target="https://blogs.oracle.com/coretec/oracle-database-monthly-news-december-2025-quick-links" TargetMode="External"/><Relationship Id="rId50" Type="http://schemas.openxmlformats.org/officeDocument/2006/relationships/hyperlink" Target="https://techcommunity.microsoft.com/t5/s/gxcuf89792/rss/board?board.id=SQLServer" TargetMode="External"/><Relationship Id="rId55" Type="http://schemas.openxmlformats.org/officeDocument/2006/relationships/hyperlink" Target="https://techcommunity.microsoft.com/t5/s/gxcuf89792/rss/board?board.id=SQLServer" TargetMode="External"/><Relationship Id="rId76" Type="http://schemas.openxmlformats.org/officeDocument/2006/relationships/hyperlink" Target="https://mariadb.com/resources/blog/mariadb-enterprise-server-q4-2025-maintenance-releases-with-backported-features/" TargetMode="External"/><Relationship Id="rId97" Type="http://schemas.openxmlformats.org/officeDocument/2006/relationships/hyperlink" Target="https://www.postgresql.org/about/newsarchive/" TargetMode="External"/><Relationship Id="rId7" Type="http://schemas.openxmlformats.org/officeDocument/2006/relationships/hyperlink" Target="https://techcommunity.microsoft.com/t5/s/gxcuf89792/rss/board?board.id=SQLServer" TargetMode="External"/><Relationship Id="rId71" Type="http://schemas.openxmlformats.org/officeDocument/2006/relationships/hyperlink" Target="https://docs.oracle.com/en-us/iaas/mysql-database/doc/mysql-server-versions.html" TargetMode="External"/><Relationship Id="rId92" Type="http://schemas.openxmlformats.org/officeDocument/2006/relationships/hyperlink" Target="https://www.postgresql.org/about/newsarchive/" TargetMode="External"/><Relationship Id="rId2" Type="http://schemas.openxmlformats.org/officeDocument/2006/relationships/hyperlink" Target="https://www.oracle.com/news/" TargetMode="External"/><Relationship Id="rId29" Type="http://schemas.openxmlformats.org/officeDocument/2006/relationships/hyperlink" Target="https://blogs.oracle.com/coretec/oracle-database-monthly-news-december-2025-quick-links" TargetMode="External"/><Relationship Id="rId24" Type="http://schemas.openxmlformats.org/officeDocument/2006/relationships/hyperlink" Target="https://www.postgresql.org/about/newsarchive/" TargetMode="External"/><Relationship Id="rId40" Type="http://schemas.openxmlformats.org/officeDocument/2006/relationships/hyperlink" Target="https://techcommunity.microsoft.com/blog/sqlserver/sql-server-2025-is-now-generally-available/4470570" TargetMode="External"/><Relationship Id="rId45" Type="http://schemas.openxmlformats.org/officeDocument/2006/relationships/hyperlink" Target="https://techcommunity.microsoft.com/t5/s/gxcuf89792/rss/board?board.id=SQLServer" TargetMode="External"/><Relationship Id="rId66" Type="http://schemas.openxmlformats.org/officeDocument/2006/relationships/hyperlink" Target="https://docs.oracle.com/en-us/iaas/mysql-database/doc/mysql-server-versions.html" TargetMode="External"/><Relationship Id="rId87" Type="http://schemas.openxmlformats.org/officeDocument/2006/relationships/hyperlink" Target="https://mariadb.com/resources/blog/mariadb-enterprise-server-q4-2025-maintenance-releases-with-backported-features/" TargetMode="External"/><Relationship Id="rId61" Type="http://schemas.openxmlformats.org/officeDocument/2006/relationships/hyperlink" Target="https://techcommunity.microsoft.com/blog/sqlserver/sql-server-2025-is-now-generally-available/4470570" TargetMode="External"/><Relationship Id="rId82" Type="http://schemas.openxmlformats.org/officeDocument/2006/relationships/hyperlink" Target="https://mariadb.com/resources/blog/mariadb-enterprise-server-q4-2025-maintenance-releases-with-backported-features/" TargetMode="External"/><Relationship Id="rId19" Type="http://schemas.openxmlformats.org/officeDocument/2006/relationships/hyperlink" Target="https://mariadb.com/resources/blog/mariadb-enterprise-server-q4-2025-maintenance-releases-with-backported-features/" TargetMode="External"/><Relationship Id="rId14" Type="http://schemas.openxmlformats.org/officeDocument/2006/relationships/hyperlink" Target="https://mariadb.com/resources/blog/mariadb-enterprise-server-q4-2025-maintenance-releases-with-backported-features/" TargetMode="External"/><Relationship Id="rId30" Type="http://schemas.openxmlformats.org/officeDocument/2006/relationships/hyperlink" Target="https://blogs.oracle.com/coretec/oracle-database-monthly-news-december-2025-quick-links" TargetMode="External"/><Relationship Id="rId35" Type="http://schemas.openxmlformats.org/officeDocument/2006/relationships/hyperlink" Target="https://blogs.oracle.com/coretec/oracle-database-monthly-news-december-2025-quick-links" TargetMode="External"/><Relationship Id="rId56" Type="http://schemas.openxmlformats.org/officeDocument/2006/relationships/hyperlink" Target="https://techcommunity.microsoft.com/t5/s/gxcuf89792/rss/board?board.id=SQLServer" TargetMode="External"/><Relationship Id="rId77" Type="http://schemas.openxmlformats.org/officeDocument/2006/relationships/hyperlink" Target="https://mariadb.com/resources/blog/mariadb-enterprise-server-q4-2025-maintenance-releases-with-backported-features/" TargetMode="External"/><Relationship Id="rId8" Type="http://schemas.openxmlformats.org/officeDocument/2006/relationships/hyperlink" Target="https://techcommunity.microsoft.com/t5/s/gxcuf89792/rss/board?board.id=SQLServer" TargetMode="External"/><Relationship Id="rId51" Type="http://schemas.openxmlformats.org/officeDocument/2006/relationships/hyperlink" Target="https://techcommunity.microsoft.com/t5/s/gxcuf89792/rss/board?board.id=SQLServer" TargetMode="External"/><Relationship Id="rId72" Type="http://schemas.openxmlformats.org/officeDocument/2006/relationships/hyperlink" Target="https://docs.oracle.com/en-us/iaas/mysql-database/doc/mysql-server-versions.html" TargetMode="External"/><Relationship Id="rId93" Type="http://schemas.openxmlformats.org/officeDocument/2006/relationships/hyperlink" Target="https://www.postgresql.org/about/newsarchive/" TargetMode="External"/><Relationship Id="rId98" Type="http://schemas.openxmlformats.org/officeDocument/2006/relationships/hyperlink" Target="https://www.postgresql.org/about/news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4871</Words>
  <Characters>27765</Characters>
  <Application>Microsoft Office Word</Application>
  <DocSecurity>0</DocSecurity>
  <Lines>231</Lines>
  <Paragraphs>65</Paragraphs>
  <ScaleCrop>false</ScaleCrop>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Domański, Paweł</cp:lastModifiedBy>
  <cp:revision>2</cp:revision>
  <dcterms:created xsi:type="dcterms:W3CDTF">2025-12-23T08:19:00Z</dcterms:created>
  <dcterms:modified xsi:type="dcterms:W3CDTF">2025-12-23T08:19:00Z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7f0eaf84,2f9d3d95,5e877632</vt:lpwstr>
  </property>
  <property fmtid="{D5CDD505-2E9C-101B-9397-08002B2CF9AE}" pid="3" name="ClassificationContentMarkingFooterFontProps">
    <vt:lpwstr>#000000,8,Aptos</vt:lpwstr>
  </property>
  <property fmtid="{D5CDD505-2E9C-101B-9397-08002B2CF9AE}" pid="4" name="ClassificationContentMarkingFooterText">
    <vt:lpwstr>Public</vt:lpwstr>
  </property>
  <property fmtid="{D5CDD505-2E9C-101B-9397-08002B2CF9AE}" pid="5" name="MSIP_Label_279eeddc-1c94-446c-a0ef-c3f9c2abfb16_Enabled">
    <vt:lpwstr>true</vt:lpwstr>
  </property>
  <property fmtid="{D5CDD505-2E9C-101B-9397-08002B2CF9AE}" pid="6" name="MSIP_Label_279eeddc-1c94-446c-a0ef-c3f9c2abfb16_SetDate">
    <vt:lpwstr>2025-12-23T08:19:29Z</vt:lpwstr>
  </property>
  <property fmtid="{D5CDD505-2E9C-101B-9397-08002B2CF9AE}" pid="7" name="MSIP_Label_279eeddc-1c94-446c-a0ef-c3f9c2abfb16_Method">
    <vt:lpwstr>Privileged</vt:lpwstr>
  </property>
  <property fmtid="{D5CDD505-2E9C-101B-9397-08002B2CF9AE}" pid="8" name="MSIP_Label_279eeddc-1c94-446c-a0ef-c3f9c2abfb16_Name">
    <vt:lpwstr>279eeddc-1c94-446c-a0ef-c3f9c2abfb16</vt:lpwstr>
  </property>
  <property fmtid="{D5CDD505-2E9C-101B-9397-08002B2CF9AE}" pid="9" name="MSIP_Label_279eeddc-1c94-446c-a0ef-c3f9c2abfb16_SiteId">
    <vt:lpwstr>19e2b708-bf12-4375-9719-8dec42771b3e</vt:lpwstr>
  </property>
  <property fmtid="{D5CDD505-2E9C-101B-9397-08002B2CF9AE}" pid="10" name="MSIP_Label_279eeddc-1c94-446c-a0ef-c3f9c2abfb16_ActionId">
    <vt:lpwstr>5849a5eb-46ed-4b6f-8f80-abf2508a46ef</vt:lpwstr>
  </property>
  <property fmtid="{D5CDD505-2E9C-101B-9397-08002B2CF9AE}" pid="11" name="MSIP_Label_279eeddc-1c94-446c-a0ef-c3f9c2abfb16_ContentBits">
    <vt:lpwstr>2</vt:lpwstr>
  </property>
  <property fmtid="{D5CDD505-2E9C-101B-9397-08002B2CF9AE}" pid="12" name="MSIP_Label_279eeddc-1c94-446c-a0ef-c3f9c2abfb16_Tag">
    <vt:lpwstr>10, 0, 1, 2</vt:lpwstr>
  </property>
</Properties>
</file>